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455" w:rsidRDefault="003960A5">
      <w:pPr>
        <w:spacing w:line="264" w:lineRule="auto"/>
        <w:jc w:val="center"/>
        <w:rPr>
          <w:rFonts w:ascii="Garamond" w:hAnsi="Garamond" w:cs="Arial"/>
          <w:sz w:val="24"/>
          <w:szCs w:val="24"/>
        </w:rPr>
      </w:pPr>
      <w:r>
        <w:rPr>
          <w:rFonts w:ascii="Garamond" w:hAnsi="Garamond" w:cs="Arial"/>
          <w:sz w:val="24"/>
          <w:szCs w:val="24"/>
        </w:rPr>
        <w:t xml:space="preserve">Programma Nazionale Equità nella Salute 2021-2027, (PNES) - Area Contrastare la povertà sanitaria". Codice del Progetto IN.4.5.1_03 </w:t>
      </w:r>
      <w:bookmarkStart w:id="0" w:name="_GoBack"/>
      <w:r w:rsidR="00FE2B5F" w:rsidRPr="00FE2B5F">
        <w:rPr>
          <w:rFonts w:ascii="Garamond" w:hAnsi="Garamond" w:cs="Arial"/>
          <w:sz w:val="24"/>
          <w:szCs w:val="24"/>
        </w:rPr>
        <w:t xml:space="preserve">Acquisizione di protesi odontoiatriche </w:t>
      </w:r>
      <w:bookmarkEnd w:id="0"/>
      <w:r>
        <w:rPr>
          <w:rFonts w:ascii="Garamond" w:hAnsi="Garamond" w:cs="Arial"/>
          <w:sz w:val="24"/>
          <w:szCs w:val="24"/>
        </w:rPr>
        <w:t>- CUP J29I24000930006</w:t>
      </w:r>
    </w:p>
    <w:p w:rsidR="004E7455" w:rsidRDefault="004E7455">
      <w:pPr>
        <w:spacing w:line="264" w:lineRule="auto"/>
        <w:jc w:val="both"/>
        <w:rPr>
          <w:rFonts w:ascii="Garamond" w:hAnsi="Garamond" w:cs="Arial"/>
          <w:sz w:val="24"/>
          <w:szCs w:val="24"/>
        </w:rPr>
      </w:pPr>
    </w:p>
    <w:p w:rsidR="004E7455" w:rsidRDefault="003960A5">
      <w:pPr>
        <w:spacing w:line="264" w:lineRule="auto"/>
        <w:jc w:val="center"/>
        <w:rPr>
          <w:rFonts w:ascii="Garamond" w:hAnsi="Garamond" w:cs="Arial"/>
          <w:b/>
          <w:sz w:val="32"/>
          <w:szCs w:val="24"/>
        </w:rPr>
      </w:pPr>
      <w:r>
        <w:rPr>
          <w:rFonts w:ascii="Garamond" w:hAnsi="Garamond" w:cs="Arial"/>
          <w:b/>
          <w:sz w:val="32"/>
          <w:szCs w:val="24"/>
        </w:rPr>
        <w:t>AVVISO DI MANIFESTAZIONE DI INTERESSE</w:t>
      </w:r>
    </w:p>
    <w:p w:rsidR="004E7455" w:rsidRDefault="004E7455">
      <w:pPr>
        <w:spacing w:line="264" w:lineRule="auto"/>
        <w:jc w:val="center"/>
        <w:rPr>
          <w:rFonts w:ascii="Garamond" w:hAnsi="Garamond" w:cs="Arial"/>
          <w:b/>
          <w:sz w:val="32"/>
          <w:szCs w:val="24"/>
        </w:rPr>
      </w:pPr>
    </w:p>
    <w:p w:rsidR="004E7455" w:rsidRDefault="003960A5">
      <w:pPr>
        <w:pStyle w:val="Default"/>
        <w:spacing w:line="360" w:lineRule="auto"/>
        <w:jc w:val="both"/>
        <w:rPr>
          <w:rFonts w:ascii="Garamond" w:hAnsi="Garamond"/>
          <w:b/>
          <w:bCs/>
          <w:color w:val="auto"/>
          <w:sz w:val="22"/>
          <w:szCs w:val="22"/>
          <w:highlight w:val="lightGray"/>
        </w:rPr>
      </w:pPr>
      <w:r>
        <w:rPr>
          <w:rFonts w:ascii="Garamond" w:hAnsi="Garamond"/>
          <w:b/>
          <w:bCs/>
          <w:color w:val="auto"/>
          <w:sz w:val="22"/>
          <w:szCs w:val="22"/>
          <w:highlight w:val="lightGray"/>
        </w:rPr>
        <w:t>PREMESSA</w:t>
      </w:r>
    </w:p>
    <w:p w:rsidR="004E7455" w:rsidRDefault="004E7455">
      <w:pPr>
        <w:spacing w:line="264" w:lineRule="auto"/>
        <w:jc w:val="center"/>
        <w:rPr>
          <w:rFonts w:ascii="Garamond" w:hAnsi="Garamond" w:cs="Arial"/>
          <w:b/>
          <w:sz w:val="32"/>
          <w:szCs w:val="24"/>
        </w:rPr>
      </w:pPr>
    </w:p>
    <w:p w:rsidR="004E7455" w:rsidRDefault="003960A5">
      <w:pPr>
        <w:spacing w:line="264" w:lineRule="auto"/>
        <w:jc w:val="both"/>
        <w:rPr>
          <w:rFonts w:ascii="Garamond" w:hAnsi="Garamond" w:cs="Arial"/>
          <w:sz w:val="24"/>
          <w:szCs w:val="24"/>
        </w:rPr>
      </w:pPr>
      <w:r>
        <w:rPr>
          <w:rFonts w:ascii="Garamond" w:hAnsi="Garamond" w:cs="Arial"/>
          <w:sz w:val="24"/>
          <w:szCs w:val="24"/>
        </w:rPr>
        <w:t>Nell’ambito del Programma Nazionale Equità nella Salute (PNES) la ASL di Sassari attraverso l’utilizzo delle proprie strutture, effettuerà una serie di attività in favore della popolazione in stato di povertà sanitaria al fine della presa in carico dei bisogni di salute del target di riferimento secondo le modalità previste nei vari progetti che compongono il PNES.</w:t>
      </w:r>
    </w:p>
    <w:p w:rsidR="004E7455" w:rsidRDefault="003960A5">
      <w:pPr>
        <w:spacing w:line="264" w:lineRule="auto"/>
        <w:jc w:val="both"/>
        <w:rPr>
          <w:rFonts w:ascii="Garamond" w:hAnsi="Garamond" w:cs="Arial"/>
          <w:sz w:val="24"/>
          <w:szCs w:val="24"/>
        </w:rPr>
      </w:pPr>
      <w:r>
        <w:rPr>
          <w:rFonts w:ascii="Garamond" w:hAnsi="Garamond" w:cs="Arial"/>
          <w:sz w:val="24"/>
          <w:szCs w:val="24"/>
        </w:rPr>
        <w:t>Il progetto “Acquisizione e dotazione di protesi odontoiatriche” ha come obiettivo offrire prestazioni sanitarie odontoiatriche alla popolazione in stato di povertà sanitaria promuovendo il fattore economico ed il fattore clinico sociale attraverso due azioni: riduzione dell’efficienza masticatoria con assenza di almeno quattro posteriori, esclusi i terzi molari; e il danno estetico-sociale con assenza di almeno un dente anteriore. La realizzazione delle attività avverrà attraverso il coinvolgimento della rete degli attori del territorio, a partire dai servizi sociali dei comuni, gli ETS come di seguito:</w:t>
      </w:r>
    </w:p>
    <w:p w:rsidR="004E7455" w:rsidRDefault="003960A5">
      <w:pPr>
        <w:pStyle w:val="Paragrafoelenco"/>
        <w:numPr>
          <w:ilvl w:val="0"/>
          <w:numId w:val="1"/>
        </w:numPr>
        <w:spacing w:line="264" w:lineRule="auto"/>
        <w:jc w:val="both"/>
        <w:rPr>
          <w:rFonts w:ascii="Garamond" w:hAnsi="Garamond" w:cs="Arial"/>
          <w:sz w:val="24"/>
          <w:szCs w:val="24"/>
        </w:rPr>
      </w:pPr>
      <w:r>
        <w:rPr>
          <w:rFonts w:ascii="Garamond" w:hAnsi="Garamond" w:cs="Arial"/>
          <w:sz w:val="24"/>
          <w:szCs w:val="24"/>
        </w:rPr>
        <w:t>Attività di informazione sulla salute orale: Educazione e sensibilizzazione della popolazione sull'importanza della salute orale e su come mantenere una corretta igiene dentale.</w:t>
      </w:r>
    </w:p>
    <w:p w:rsidR="004E7455" w:rsidRDefault="003960A5">
      <w:pPr>
        <w:pStyle w:val="Paragrafoelenco"/>
        <w:numPr>
          <w:ilvl w:val="0"/>
          <w:numId w:val="1"/>
        </w:numPr>
        <w:spacing w:line="264" w:lineRule="auto"/>
        <w:jc w:val="both"/>
        <w:rPr>
          <w:rFonts w:ascii="Garamond" w:hAnsi="Garamond" w:cs="Arial"/>
          <w:sz w:val="24"/>
          <w:szCs w:val="24"/>
        </w:rPr>
      </w:pPr>
      <w:r>
        <w:rPr>
          <w:rFonts w:ascii="Garamond" w:hAnsi="Garamond" w:cs="Arial"/>
          <w:sz w:val="24"/>
          <w:szCs w:val="24"/>
        </w:rPr>
        <w:t>Screening sanitari odontoiatrici: Controlli preventivi per individuare precocemente eventuali problemi odontoiatrici e avviare le cure necessarie.</w:t>
      </w:r>
    </w:p>
    <w:p w:rsidR="004E7455" w:rsidRDefault="003960A5">
      <w:pPr>
        <w:pStyle w:val="Paragrafoelenco"/>
        <w:numPr>
          <w:ilvl w:val="0"/>
          <w:numId w:val="1"/>
        </w:numPr>
        <w:spacing w:line="264" w:lineRule="auto"/>
        <w:jc w:val="both"/>
        <w:rPr>
          <w:rFonts w:ascii="Garamond" w:hAnsi="Garamond" w:cs="Arial"/>
          <w:sz w:val="24"/>
          <w:szCs w:val="24"/>
        </w:rPr>
      </w:pPr>
      <w:r>
        <w:rPr>
          <w:rFonts w:ascii="Garamond" w:hAnsi="Garamond" w:cs="Arial"/>
          <w:sz w:val="24"/>
          <w:szCs w:val="24"/>
        </w:rPr>
        <w:t>Prestazioni di assistenza essenziale: Fornitura di cure odontoiatriche di base per rispondere alle esigenze primarie della popolazione in stato di povertà sanitaria.</w:t>
      </w:r>
    </w:p>
    <w:p w:rsidR="004E7455" w:rsidRDefault="003960A5">
      <w:pPr>
        <w:pStyle w:val="Paragrafoelenco"/>
        <w:numPr>
          <w:ilvl w:val="0"/>
          <w:numId w:val="1"/>
        </w:numPr>
        <w:spacing w:line="264" w:lineRule="auto"/>
        <w:jc w:val="both"/>
        <w:rPr>
          <w:rFonts w:ascii="Garamond" w:hAnsi="Garamond" w:cs="Arial"/>
          <w:sz w:val="24"/>
          <w:szCs w:val="24"/>
        </w:rPr>
      </w:pPr>
      <w:r>
        <w:rPr>
          <w:rFonts w:ascii="Garamond" w:hAnsi="Garamond" w:cs="Arial"/>
          <w:sz w:val="24"/>
          <w:szCs w:val="24"/>
        </w:rPr>
        <w:t>Controlli e cure odontoiatriche: Follow-up e trattamenti per garantire la continuità delle cure e la risoluzione dei problemi odontoiatrici rilevati durante gli screening.</w:t>
      </w:r>
    </w:p>
    <w:p w:rsidR="004E7455" w:rsidRDefault="003960A5">
      <w:pPr>
        <w:pStyle w:val="Paragrafoelenco"/>
        <w:numPr>
          <w:ilvl w:val="0"/>
          <w:numId w:val="1"/>
        </w:numPr>
        <w:spacing w:line="264" w:lineRule="auto"/>
        <w:jc w:val="both"/>
        <w:rPr>
          <w:rFonts w:ascii="Garamond" w:hAnsi="Garamond" w:cs="Arial"/>
          <w:sz w:val="24"/>
          <w:szCs w:val="24"/>
        </w:rPr>
      </w:pPr>
      <w:r>
        <w:rPr>
          <w:rFonts w:ascii="Garamond" w:hAnsi="Garamond" w:cs="Arial"/>
          <w:sz w:val="24"/>
          <w:szCs w:val="24"/>
        </w:rPr>
        <w:t>Routine di igiene dentale: Esecuzione di pulizie dentali regolari per prevenire carie e malattie gengivali.</w:t>
      </w:r>
    </w:p>
    <w:p w:rsidR="004E7455" w:rsidRDefault="003960A5">
      <w:pPr>
        <w:pStyle w:val="Paragrafoelenco"/>
        <w:numPr>
          <w:ilvl w:val="0"/>
          <w:numId w:val="1"/>
        </w:numPr>
        <w:spacing w:line="264" w:lineRule="auto"/>
        <w:jc w:val="both"/>
        <w:rPr>
          <w:rFonts w:ascii="Garamond" w:hAnsi="Garamond" w:cs="Arial"/>
          <w:sz w:val="24"/>
          <w:szCs w:val="24"/>
        </w:rPr>
      </w:pPr>
      <w:r>
        <w:rPr>
          <w:rFonts w:ascii="Garamond" w:hAnsi="Garamond" w:cs="Arial"/>
          <w:sz w:val="24"/>
          <w:szCs w:val="24"/>
        </w:rPr>
        <w:t xml:space="preserve">Interventi di </w:t>
      </w:r>
      <w:r w:rsidRPr="003960A5">
        <w:rPr>
          <w:rFonts w:ascii="Garamond" w:hAnsi="Garamond" w:cs="Arial"/>
          <w:sz w:val="24"/>
          <w:szCs w:val="24"/>
        </w:rPr>
        <w:t>riabilitazione protesica</w:t>
      </w:r>
      <w:r>
        <w:rPr>
          <w:rFonts w:ascii="Garamond" w:hAnsi="Garamond" w:cs="Arial"/>
          <w:sz w:val="24"/>
          <w:szCs w:val="24"/>
        </w:rPr>
        <w:t xml:space="preserve"> con la dotazione di protesi odontoiatriche: Fornitura di apparecchi ortodontici e protesi per correggere problemi di allineamento dentale e migliorare la funzionalità masticatoria.</w:t>
      </w:r>
    </w:p>
    <w:p w:rsidR="004E7455" w:rsidRDefault="004E7455">
      <w:pPr>
        <w:pStyle w:val="Paragrafoelenco"/>
        <w:spacing w:line="264" w:lineRule="auto"/>
        <w:ind w:left="732"/>
        <w:jc w:val="both"/>
        <w:rPr>
          <w:rFonts w:ascii="Garamond" w:hAnsi="Garamond" w:cs="Arial"/>
          <w:sz w:val="24"/>
          <w:szCs w:val="24"/>
        </w:rPr>
      </w:pPr>
    </w:p>
    <w:p w:rsidR="004E7455" w:rsidRDefault="003960A5">
      <w:pPr>
        <w:spacing w:line="264" w:lineRule="auto"/>
        <w:jc w:val="both"/>
        <w:rPr>
          <w:rFonts w:ascii="Garamond" w:hAnsi="Garamond" w:cs="Arial"/>
          <w:sz w:val="24"/>
          <w:szCs w:val="24"/>
        </w:rPr>
      </w:pPr>
      <w:r>
        <w:rPr>
          <w:rFonts w:ascii="Garamond" w:hAnsi="Garamond" w:cs="Arial"/>
          <w:sz w:val="24"/>
          <w:szCs w:val="24"/>
        </w:rPr>
        <w:t>Per le prestazioni odontoiatriche si tiene conto del fattore clinico e sociale, al paziente viene attribuito un punteggio di priorità, secondo quanto stabilito nel disciplinare. Per ogni paziente arruolato è compilata una Scheda individuale che riporta gli esiti della valutazione e la programmazione delle prestazioni necessarie all’applicazione delle protesi. L’assegnazione della protesi avviene secondo un principio di priorità.</w:t>
      </w:r>
    </w:p>
    <w:p w:rsidR="004E7455" w:rsidRDefault="003960A5">
      <w:pPr>
        <w:spacing w:line="264" w:lineRule="auto"/>
        <w:jc w:val="both"/>
        <w:rPr>
          <w:rFonts w:ascii="Garamond" w:hAnsi="Garamond" w:cs="Arial"/>
          <w:sz w:val="24"/>
          <w:szCs w:val="24"/>
        </w:rPr>
      </w:pPr>
      <w:r>
        <w:rPr>
          <w:rFonts w:ascii="Garamond" w:hAnsi="Garamond" w:cs="Arial"/>
          <w:sz w:val="24"/>
          <w:szCs w:val="24"/>
        </w:rPr>
        <w:t xml:space="preserve">IL PNES prevede l’erogazione di prestazioni odontoiatriche e la dotazione di protesi odontoiatriche. Al fine di poter assicurare entrambi i servizi ai pazienti target, l’Azienda Socio Sanitaria Locale di Sassari, ai </w:t>
      </w:r>
      <w:r>
        <w:rPr>
          <w:rFonts w:ascii="Garamond" w:hAnsi="Garamond" w:cs="Arial"/>
          <w:sz w:val="24"/>
          <w:szCs w:val="24"/>
        </w:rPr>
        <w:lastRenderedPageBreak/>
        <w:t>sensi delle normative vigenti nazionali e regionali, individuerà</w:t>
      </w:r>
      <w:r w:rsidR="00BB7497">
        <w:rPr>
          <w:rFonts w:ascii="Garamond" w:hAnsi="Garamond" w:cs="Arial"/>
          <w:sz w:val="24"/>
          <w:szCs w:val="24"/>
        </w:rPr>
        <w:t xml:space="preserve"> i</w:t>
      </w:r>
      <w:r>
        <w:rPr>
          <w:rFonts w:ascii="Garamond" w:hAnsi="Garamond" w:cs="Arial"/>
          <w:sz w:val="24"/>
          <w:szCs w:val="24"/>
        </w:rPr>
        <w:t xml:space="preserve"> laboratori per la fornitura delle protesi mobili odontoiatriche. Verrà stipulata una convenzione, a seguito di procedura di evidenza pubblica, con i laboratori odontotecnici per la fornitura delle protesi odontoiatriche.</w:t>
      </w:r>
    </w:p>
    <w:p w:rsidR="004E7455" w:rsidRDefault="003960A5">
      <w:pPr>
        <w:spacing w:line="264" w:lineRule="auto"/>
        <w:jc w:val="both"/>
        <w:rPr>
          <w:rFonts w:ascii="Garamond" w:hAnsi="Garamond" w:cs="Arial"/>
          <w:sz w:val="24"/>
          <w:szCs w:val="24"/>
        </w:rPr>
      </w:pPr>
      <w:r>
        <w:rPr>
          <w:rFonts w:ascii="Garamond" w:hAnsi="Garamond" w:cs="Arial"/>
          <w:sz w:val="24"/>
          <w:szCs w:val="24"/>
        </w:rPr>
        <w:t xml:space="preserve">La fornitura di protesi odontoiatriche riguarderà esclusivamente le </w:t>
      </w:r>
      <w:r>
        <w:rPr>
          <w:rFonts w:ascii="Garamond" w:hAnsi="Garamond" w:cs="Arial"/>
          <w:b/>
          <w:sz w:val="24"/>
          <w:szCs w:val="24"/>
        </w:rPr>
        <w:t>protesi parziali in resina con ganci a filo</w:t>
      </w:r>
      <w:r>
        <w:rPr>
          <w:rFonts w:ascii="Garamond" w:hAnsi="Garamond" w:cs="Arial"/>
          <w:sz w:val="24"/>
          <w:szCs w:val="24"/>
        </w:rPr>
        <w:t xml:space="preserve">, che dovranno rispettare le normative nazionali ed europee. </w:t>
      </w:r>
    </w:p>
    <w:p w:rsidR="004E7455" w:rsidRPr="003960A5" w:rsidRDefault="003960A5">
      <w:pPr>
        <w:spacing w:line="264" w:lineRule="auto"/>
        <w:jc w:val="both"/>
        <w:rPr>
          <w:rFonts w:ascii="Garamond" w:hAnsi="Garamond" w:cs="Arial"/>
          <w:sz w:val="24"/>
          <w:szCs w:val="24"/>
        </w:rPr>
      </w:pPr>
      <w:r w:rsidRPr="003960A5">
        <w:rPr>
          <w:rFonts w:ascii="Garamond" w:hAnsi="Garamond" w:cs="Arial"/>
          <w:sz w:val="24"/>
          <w:szCs w:val="24"/>
        </w:rPr>
        <w:t>I dispositivi medici su misura, quelli cioè fabbricati appositamente sulla base di una prescrizione medica e destinati ad essere utilizzati solo per un determinato paziente, non devono essere marcati CE.</w:t>
      </w:r>
    </w:p>
    <w:p w:rsidR="004E7455" w:rsidRPr="003960A5" w:rsidRDefault="003960A5">
      <w:pPr>
        <w:spacing w:line="264" w:lineRule="auto"/>
        <w:jc w:val="both"/>
        <w:rPr>
          <w:rFonts w:ascii="Garamond" w:hAnsi="Garamond" w:cs="Arial"/>
          <w:sz w:val="24"/>
          <w:szCs w:val="24"/>
        </w:rPr>
      </w:pPr>
      <w:r w:rsidRPr="003960A5">
        <w:rPr>
          <w:rFonts w:ascii="Garamond" w:hAnsi="Garamond" w:cs="Arial"/>
          <w:sz w:val="24"/>
          <w:szCs w:val="24"/>
        </w:rPr>
        <w:t>Le protesi rimovibili in resina rappresentano dei dispositivi medici su misura e sono sottoposti per legge a certificazioni e normative che ne stabiliscono la conformità tecnica (Direttiva 93/42/CEE relativa ai dispositivi medici, per quanto concerne gli adempimenti di interesse degli odontoiatri e degli odontotecnici).</w:t>
      </w:r>
    </w:p>
    <w:p w:rsidR="004E7455" w:rsidRPr="003960A5" w:rsidRDefault="003960A5">
      <w:pPr>
        <w:spacing w:line="264" w:lineRule="auto"/>
        <w:jc w:val="both"/>
        <w:rPr>
          <w:rFonts w:ascii="Garamond" w:hAnsi="Garamond" w:cs="Arial"/>
          <w:sz w:val="24"/>
          <w:szCs w:val="24"/>
        </w:rPr>
      </w:pPr>
      <w:r w:rsidRPr="003960A5">
        <w:rPr>
          <w:rFonts w:ascii="Garamond" w:hAnsi="Garamond" w:cs="Arial"/>
          <w:sz w:val="24"/>
          <w:szCs w:val="24"/>
        </w:rPr>
        <w:t xml:space="preserve">La Direttiva 93/42/CEE concernente i dispositivi medici recepita dall’Italia con il </w:t>
      </w:r>
      <w:proofErr w:type="spellStart"/>
      <w:r w:rsidRPr="003960A5">
        <w:rPr>
          <w:rFonts w:ascii="Garamond" w:hAnsi="Garamond" w:cs="Arial"/>
          <w:sz w:val="24"/>
          <w:szCs w:val="24"/>
        </w:rPr>
        <w:t>D.Lgs</w:t>
      </w:r>
      <w:proofErr w:type="spellEnd"/>
      <w:r w:rsidRPr="003960A5">
        <w:rPr>
          <w:rFonts w:ascii="Garamond" w:hAnsi="Garamond" w:cs="Arial"/>
          <w:sz w:val="24"/>
          <w:szCs w:val="24"/>
        </w:rPr>
        <w:t xml:space="preserve"> 24 febbraio 1997, n.46, (Gazzetta Ufficiale - serie generale n. 54 del 6 marzo 1997) stabilisce che a partire dal 15 giugno 1998 i fabbricanti di dispositivi medici possono immettere in commercio solo prodotti recanti la marcatura CE.</w:t>
      </w:r>
    </w:p>
    <w:p w:rsidR="004E7455" w:rsidRPr="003960A5" w:rsidRDefault="003960A5">
      <w:pPr>
        <w:spacing w:line="264" w:lineRule="auto"/>
        <w:jc w:val="both"/>
        <w:rPr>
          <w:rFonts w:ascii="Garamond" w:hAnsi="Garamond" w:cs="Arial"/>
          <w:sz w:val="24"/>
          <w:szCs w:val="24"/>
        </w:rPr>
      </w:pPr>
      <w:r w:rsidRPr="003960A5">
        <w:rPr>
          <w:rFonts w:ascii="Garamond" w:hAnsi="Garamond" w:cs="Arial"/>
          <w:sz w:val="24"/>
          <w:szCs w:val="24"/>
        </w:rPr>
        <w:t>I dispositivi medici su misura, quelli cioè fabbricati appositamente sulla base di una prescrizione medica e destinati ad essere utilizzati solo per un determinato paziente, non devono essere marcati CE.</w:t>
      </w:r>
    </w:p>
    <w:p w:rsidR="004E7455" w:rsidRDefault="003960A5">
      <w:pPr>
        <w:spacing w:line="264" w:lineRule="auto"/>
        <w:jc w:val="both"/>
        <w:rPr>
          <w:rFonts w:ascii="Garamond" w:hAnsi="Garamond" w:cs="Arial"/>
          <w:sz w:val="24"/>
          <w:szCs w:val="24"/>
        </w:rPr>
      </w:pPr>
      <w:r w:rsidRPr="003960A5">
        <w:rPr>
          <w:rFonts w:ascii="Garamond" w:hAnsi="Garamond" w:cs="Arial"/>
          <w:sz w:val="24"/>
          <w:szCs w:val="24"/>
        </w:rPr>
        <w:t>I Laboratori che realizzano detti dispositivi sono obbligati, comunque, a redigere la dichiarazione prevista dall’allegato VIII del D. Lgs 24 febbraio 1997 n. 46 sopracitato, correntemente denominata dichiarazione di conformità del fabbricante alla direttiva 93/42 CEE. Sia la dichiarazione di conformità del fabbricante alla direttiva 93/42/CEE (dei dispositivi su misura e non) sia la marcatura CE rappresentano l’evidenza oggettiva che sono stati rispettati i Requisiti Essenziali previsti dal D. Lgs 24 febbraio 1997 n.46 e che, quindi, il dispositivo medico è stato fabbricato rispettando i criteri essenziali di sicurezza per il paziente, l’utilizzatore finale ed eventualmente terzi.</w:t>
      </w:r>
    </w:p>
    <w:p w:rsidR="004E7455" w:rsidRDefault="003960A5">
      <w:pPr>
        <w:spacing w:line="264" w:lineRule="auto"/>
        <w:jc w:val="both"/>
        <w:rPr>
          <w:rFonts w:ascii="Garamond" w:hAnsi="Garamond" w:cs="Arial"/>
          <w:sz w:val="24"/>
          <w:szCs w:val="24"/>
        </w:rPr>
      </w:pPr>
      <w:r>
        <w:rPr>
          <w:rFonts w:ascii="Garamond" w:hAnsi="Garamond" w:cs="Arial"/>
          <w:sz w:val="24"/>
          <w:szCs w:val="24"/>
        </w:rPr>
        <w:t>L’attività dei laboratori odontotecnici/odontoiatrici verrà autorizzata semestralmente entro i limiti del finanziamento sopra indicato e dovrà essere regolarmente rendicontata alla ASL n. 1 di Sassari che provvederà al successivo pagamento delle prestazioni svolte dietro attestazione di regolare esecuzione a cura del medico odontoiatra prescrittore.</w:t>
      </w:r>
    </w:p>
    <w:p w:rsidR="004E7455" w:rsidRPr="003960A5" w:rsidRDefault="003960A5">
      <w:pPr>
        <w:spacing w:line="264" w:lineRule="auto"/>
        <w:jc w:val="both"/>
        <w:rPr>
          <w:rFonts w:ascii="Garamond" w:hAnsi="Garamond" w:cs="Arial"/>
          <w:sz w:val="24"/>
          <w:szCs w:val="24"/>
        </w:rPr>
      </w:pPr>
      <w:r w:rsidRPr="003960A5">
        <w:rPr>
          <w:rFonts w:ascii="Garamond" w:hAnsi="Garamond" w:cs="Arial"/>
          <w:sz w:val="24"/>
          <w:szCs w:val="24"/>
        </w:rPr>
        <w:t>Il processo di realizzazione e fornitura delle protesi odontoiatriche sarà il seguente:</w:t>
      </w:r>
    </w:p>
    <w:p w:rsidR="004E7455" w:rsidRPr="003960A5" w:rsidRDefault="003960A5">
      <w:pPr>
        <w:pStyle w:val="Paragrafoelenco"/>
        <w:numPr>
          <w:ilvl w:val="0"/>
          <w:numId w:val="2"/>
        </w:numPr>
        <w:spacing w:line="264" w:lineRule="auto"/>
        <w:jc w:val="both"/>
        <w:rPr>
          <w:rFonts w:ascii="Garamond" w:hAnsi="Garamond" w:cs="Arial"/>
          <w:sz w:val="24"/>
          <w:szCs w:val="24"/>
        </w:rPr>
      </w:pPr>
      <w:r w:rsidRPr="003960A5">
        <w:rPr>
          <w:rFonts w:ascii="Garamond" w:hAnsi="Garamond" w:cs="Arial"/>
          <w:sz w:val="24"/>
          <w:szCs w:val="24"/>
        </w:rPr>
        <w:t>Ricezione ordine di lavoro;</w:t>
      </w:r>
    </w:p>
    <w:p w:rsidR="004E7455" w:rsidRPr="003960A5" w:rsidRDefault="003960A5">
      <w:pPr>
        <w:pStyle w:val="Paragrafoelenco"/>
        <w:numPr>
          <w:ilvl w:val="0"/>
          <w:numId w:val="2"/>
        </w:numPr>
        <w:spacing w:line="264" w:lineRule="auto"/>
        <w:jc w:val="both"/>
        <w:rPr>
          <w:rFonts w:ascii="Garamond" w:hAnsi="Garamond" w:cs="Arial"/>
          <w:sz w:val="24"/>
          <w:szCs w:val="24"/>
        </w:rPr>
      </w:pPr>
      <w:r w:rsidRPr="003960A5">
        <w:rPr>
          <w:rFonts w:ascii="Garamond" w:hAnsi="Garamond" w:cs="Arial"/>
          <w:sz w:val="24"/>
          <w:szCs w:val="24"/>
        </w:rPr>
        <w:t>Realizzazione manufatto secondo le specifiche commissionate, nel rispetto delle</w:t>
      </w:r>
    </w:p>
    <w:p w:rsidR="004E7455" w:rsidRPr="003960A5" w:rsidRDefault="003960A5">
      <w:pPr>
        <w:pStyle w:val="Paragrafoelenco"/>
        <w:spacing w:line="264" w:lineRule="auto"/>
        <w:jc w:val="both"/>
        <w:rPr>
          <w:rFonts w:ascii="Garamond" w:hAnsi="Garamond" w:cs="Arial"/>
          <w:sz w:val="24"/>
          <w:szCs w:val="24"/>
        </w:rPr>
      </w:pPr>
      <w:r w:rsidRPr="003960A5">
        <w:rPr>
          <w:rFonts w:ascii="Garamond" w:hAnsi="Garamond" w:cs="Arial"/>
          <w:sz w:val="24"/>
          <w:szCs w:val="24"/>
        </w:rPr>
        <w:t>condizioni previste dal presente avviso e secondo i termini ivi previsti;</w:t>
      </w:r>
    </w:p>
    <w:p w:rsidR="004E7455" w:rsidRPr="003960A5" w:rsidRDefault="003960A5">
      <w:pPr>
        <w:pStyle w:val="Paragrafoelenco"/>
        <w:numPr>
          <w:ilvl w:val="0"/>
          <w:numId w:val="2"/>
        </w:numPr>
        <w:spacing w:line="264" w:lineRule="auto"/>
        <w:jc w:val="both"/>
        <w:rPr>
          <w:rFonts w:ascii="Garamond" w:hAnsi="Garamond" w:cs="Arial"/>
          <w:sz w:val="24"/>
          <w:szCs w:val="24"/>
        </w:rPr>
      </w:pPr>
      <w:r w:rsidRPr="003960A5">
        <w:rPr>
          <w:rFonts w:ascii="Garamond" w:hAnsi="Garamond" w:cs="Arial"/>
          <w:sz w:val="24"/>
          <w:szCs w:val="24"/>
        </w:rPr>
        <w:t>Invio prova ed ulteriori prove necessarie;</w:t>
      </w:r>
    </w:p>
    <w:p w:rsidR="004E7455" w:rsidRPr="003960A5" w:rsidRDefault="003960A5">
      <w:pPr>
        <w:pStyle w:val="Paragrafoelenco"/>
        <w:numPr>
          <w:ilvl w:val="0"/>
          <w:numId w:val="2"/>
        </w:numPr>
        <w:spacing w:line="264" w:lineRule="auto"/>
        <w:jc w:val="both"/>
        <w:rPr>
          <w:rFonts w:ascii="Garamond" w:hAnsi="Garamond" w:cs="Arial"/>
          <w:sz w:val="24"/>
          <w:szCs w:val="24"/>
        </w:rPr>
      </w:pPr>
      <w:r w:rsidRPr="003960A5">
        <w:rPr>
          <w:rFonts w:ascii="Garamond" w:hAnsi="Garamond" w:cs="Arial"/>
          <w:sz w:val="24"/>
          <w:szCs w:val="24"/>
        </w:rPr>
        <w:t>Realizzazione manufatto definitivo;</w:t>
      </w:r>
    </w:p>
    <w:p w:rsidR="004E7455" w:rsidRPr="003960A5" w:rsidRDefault="003960A5">
      <w:pPr>
        <w:pStyle w:val="Paragrafoelenco"/>
        <w:numPr>
          <w:ilvl w:val="0"/>
          <w:numId w:val="2"/>
        </w:numPr>
        <w:spacing w:line="264" w:lineRule="auto"/>
        <w:jc w:val="both"/>
        <w:rPr>
          <w:rFonts w:ascii="Garamond" w:hAnsi="Garamond" w:cs="Arial"/>
          <w:sz w:val="24"/>
          <w:szCs w:val="24"/>
        </w:rPr>
      </w:pPr>
      <w:r w:rsidRPr="003960A5">
        <w:rPr>
          <w:rFonts w:ascii="Garamond" w:hAnsi="Garamond" w:cs="Arial"/>
          <w:sz w:val="24"/>
          <w:szCs w:val="24"/>
        </w:rPr>
        <w:t>Consegna lavoro.</w:t>
      </w:r>
      <w:r w:rsidRPr="003960A5">
        <w:rPr>
          <w:rFonts w:ascii="Arial" w:hAnsi="Arial" w:cs="Arial"/>
          <w:sz w:val="20"/>
          <w:szCs w:val="20"/>
        </w:rPr>
        <w:t xml:space="preserve"> </w:t>
      </w:r>
    </w:p>
    <w:p w:rsidR="004E7455" w:rsidRDefault="003960A5">
      <w:pPr>
        <w:spacing w:line="264" w:lineRule="auto"/>
        <w:jc w:val="both"/>
        <w:rPr>
          <w:rFonts w:ascii="Garamond" w:hAnsi="Garamond" w:cs="Arial"/>
          <w:sz w:val="24"/>
          <w:szCs w:val="24"/>
        </w:rPr>
      </w:pPr>
      <w:r>
        <w:rPr>
          <w:rFonts w:ascii="Garamond" w:hAnsi="Garamond" w:cs="Arial"/>
          <w:sz w:val="24"/>
          <w:szCs w:val="24"/>
        </w:rPr>
        <w:t>Il presente avviso si rivolge pertanto ai laboratori/ambulatori odontotecnici/odontoiatrici che fossero interessati ad aderire all’iniziativa sopra descritta.</w:t>
      </w:r>
    </w:p>
    <w:p w:rsidR="004E7455" w:rsidRDefault="003960A5">
      <w:pPr>
        <w:spacing w:line="264" w:lineRule="auto"/>
        <w:jc w:val="both"/>
        <w:rPr>
          <w:rFonts w:ascii="Garamond" w:hAnsi="Garamond" w:cs="Arial"/>
          <w:sz w:val="24"/>
          <w:szCs w:val="24"/>
        </w:rPr>
      </w:pPr>
      <w:r>
        <w:rPr>
          <w:rFonts w:ascii="Garamond" w:hAnsi="Garamond" w:cs="Arial"/>
          <w:sz w:val="24"/>
          <w:szCs w:val="24"/>
        </w:rPr>
        <w:t>La manifestazione di interesse a partecipare al progetto sotto descritto potrà essere effettuata inviando alla ASL di Sassari a mezzo PEC la seguente documentazione:</w:t>
      </w:r>
    </w:p>
    <w:p w:rsidR="004E7455" w:rsidRDefault="003960A5">
      <w:pPr>
        <w:pStyle w:val="Paragrafoelenco"/>
        <w:numPr>
          <w:ilvl w:val="0"/>
          <w:numId w:val="3"/>
        </w:numPr>
        <w:spacing w:line="264" w:lineRule="auto"/>
        <w:jc w:val="both"/>
        <w:rPr>
          <w:rFonts w:ascii="Garamond" w:hAnsi="Garamond" w:cs="Arial"/>
          <w:sz w:val="24"/>
          <w:szCs w:val="24"/>
        </w:rPr>
      </w:pPr>
      <w:r>
        <w:rPr>
          <w:rFonts w:ascii="Garamond" w:hAnsi="Garamond" w:cs="Arial"/>
          <w:sz w:val="24"/>
          <w:szCs w:val="24"/>
        </w:rPr>
        <w:lastRenderedPageBreak/>
        <w:t xml:space="preserve">Istanza di manifestazione di interesse in conformità al </w:t>
      </w:r>
      <w:proofErr w:type="spellStart"/>
      <w:r>
        <w:rPr>
          <w:rFonts w:ascii="Garamond" w:hAnsi="Garamond" w:cs="Arial"/>
          <w:sz w:val="24"/>
          <w:szCs w:val="24"/>
        </w:rPr>
        <w:t>fac</w:t>
      </w:r>
      <w:proofErr w:type="spellEnd"/>
      <w:r>
        <w:rPr>
          <w:rFonts w:ascii="Garamond" w:hAnsi="Garamond" w:cs="Arial"/>
          <w:sz w:val="24"/>
          <w:szCs w:val="24"/>
        </w:rPr>
        <w:t xml:space="preserve"> simile allegato.</w:t>
      </w:r>
    </w:p>
    <w:p w:rsidR="004E7455" w:rsidRDefault="003960A5">
      <w:pPr>
        <w:spacing w:line="264" w:lineRule="auto"/>
        <w:jc w:val="both"/>
        <w:rPr>
          <w:rFonts w:ascii="Garamond" w:hAnsi="Garamond"/>
          <w:sz w:val="24"/>
        </w:rPr>
      </w:pPr>
      <w:r>
        <w:rPr>
          <w:rFonts w:ascii="Garamond" w:hAnsi="Garamond" w:cs="Arial"/>
          <w:sz w:val="24"/>
          <w:szCs w:val="24"/>
        </w:rPr>
        <w:t xml:space="preserve">La manifestazione d’interesse dovrà essere inviata tramite Posta Elettronica Certificata (PEC) esclusivamente al seguente indirizzo: </w:t>
      </w:r>
      <w:hyperlink r:id="rId8">
        <w:r>
          <w:rPr>
            <w:rStyle w:val="Collegamentoipertestuale"/>
            <w:rFonts w:ascii="Garamond" w:hAnsi="Garamond"/>
            <w:sz w:val="24"/>
          </w:rPr>
          <w:t>acquisti.gare@pec.aslsassari.it</w:t>
        </w:r>
      </w:hyperlink>
      <w:r>
        <w:rPr>
          <w:rFonts w:ascii="Garamond" w:hAnsi="Garamond"/>
          <w:sz w:val="24"/>
        </w:rPr>
        <w:t>.</w:t>
      </w:r>
    </w:p>
    <w:p w:rsidR="004E7455" w:rsidRDefault="003960A5">
      <w:pPr>
        <w:spacing w:line="264" w:lineRule="auto"/>
        <w:jc w:val="both"/>
        <w:rPr>
          <w:rFonts w:ascii="Garamond" w:hAnsi="Garamond" w:cs="Arial"/>
          <w:sz w:val="24"/>
          <w:szCs w:val="24"/>
        </w:rPr>
      </w:pPr>
      <w:r>
        <w:rPr>
          <w:rFonts w:ascii="Garamond" w:hAnsi="Garamond"/>
          <w:bCs/>
          <w:sz w:val="24"/>
          <w:szCs w:val="24"/>
        </w:rPr>
        <w:t xml:space="preserve">Il </w:t>
      </w:r>
      <w:r>
        <w:rPr>
          <w:rFonts w:ascii="Garamond" w:hAnsi="Garamond"/>
          <w:b/>
          <w:bCs/>
          <w:sz w:val="24"/>
          <w:szCs w:val="24"/>
        </w:rPr>
        <w:t>termine per la presentazione della manifestazione d’interesse</w:t>
      </w:r>
      <w:r>
        <w:rPr>
          <w:rFonts w:ascii="Garamond" w:hAnsi="Garamond"/>
          <w:bCs/>
          <w:sz w:val="24"/>
          <w:szCs w:val="24"/>
        </w:rPr>
        <w:t xml:space="preserve"> è fissato </w:t>
      </w:r>
      <w:r>
        <w:rPr>
          <w:rFonts w:ascii="Garamond" w:hAnsi="Garamond" w:cs="Arial"/>
          <w:sz w:val="24"/>
          <w:szCs w:val="24"/>
        </w:rPr>
        <w:t>entro</w:t>
      </w:r>
      <w:r>
        <w:rPr>
          <w:rFonts w:ascii="Garamond" w:hAnsi="Garamond"/>
          <w:b/>
          <w:bCs/>
          <w:sz w:val="24"/>
          <w:szCs w:val="24"/>
          <w:u w:val="single"/>
        </w:rPr>
        <w:t xml:space="preserve"> </w:t>
      </w:r>
      <w:r>
        <w:rPr>
          <w:rFonts w:ascii="Garamond" w:hAnsi="Garamond" w:cs="Arial"/>
          <w:sz w:val="24"/>
          <w:szCs w:val="24"/>
        </w:rPr>
        <w:t xml:space="preserve">e non oltre il 10/10/2025 </w:t>
      </w:r>
      <w:proofErr w:type="gramStart"/>
      <w:r>
        <w:rPr>
          <w:rFonts w:ascii="Garamond" w:hAnsi="Garamond" w:cs="Arial"/>
          <w:sz w:val="24"/>
          <w:szCs w:val="24"/>
        </w:rPr>
        <w:t>alle h</w:t>
      </w:r>
      <w:proofErr w:type="gramEnd"/>
      <w:r>
        <w:rPr>
          <w:rFonts w:ascii="Garamond" w:hAnsi="Garamond" w:cs="Arial"/>
          <w:sz w:val="24"/>
          <w:szCs w:val="24"/>
        </w:rPr>
        <w:t xml:space="preserve">: 12,00. </w:t>
      </w:r>
    </w:p>
    <w:p w:rsidR="004E7455" w:rsidRDefault="003960A5">
      <w:pPr>
        <w:spacing w:line="264" w:lineRule="auto"/>
        <w:jc w:val="both"/>
        <w:rPr>
          <w:rFonts w:ascii="Garamond" w:hAnsi="Garamond" w:cs="Arial"/>
          <w:sz w:val="24"/>
          <w:szCs w:val="24"/>
        </w:rPr>
      </w:pPr>
      <w:r>
        <w:rPr>
          <w:rFonts w:ascii="Garamond" w:hAnsi="Garamond" w:cs="Arial"/>
          <w:sz w:val="24"/>
          <w:szCs w:val="24"/>
        </w:rPr>
        <w:t>Il suddetto termine è perentorio e, pertanto, non saranno prese in considerazione manifestazioni d’interesse, che, per qualsiasi ragione, risultino pervenute oltre la scadenza.</w:t>
      </w:r>
    </w:p>
    <w:p w:rsidR="004E7455" w:rsidRDefault="003960A5">
      <w:pPr>
        <w:spacing w:line="264" w:lineRule="auto"/>
        <w:jc w:val="both"/>
        <w:rPr>
          <w:rFonts w:ascii="Garamond" w:hAnsi="Garamond" w:cs="Arial"/>
          <w:sz w:val="24"/>
          <w:szCs w:val="24"/>
        </w:rPr>
      </w:pPr>
      <w:r>
        <w:rPr>
          <w:rFonts w:ascii="Garamond" w:hAnsi="Garamond" w:cs="Arial"/>
          <w:sz w:val="24"/>
          <w:szCs w:val="24"/>
        </w:rPr>
        <w:t xml:space="preserve">L’oggetto della </w:t>
      </w:r>
      <w:proofErr w:type="spellStart"/>
      <w:r>
        <w:rPr>
          <w:rFonts w:ascii="Garamond" w:hAnsi="Garamond" w:cs="Arial"/>
          <w:sz w:val="24"/>
          <w:szCs w:val="24"/>
        </w:rPr>
        <w:t>pec</w:t>
      </w:r>
      <w:proofErr w:type="spellEnd"/>
      <w:r>
        <w:rPr>
          <w:rFonts w:ascii="Garamond" w:hAnsi="Garamond" w:cs="Arial"/>
          <w:sz w:val="24"/>
          <w:szCs w:val="24"/>
        </w:rPr>
        <w:t xml:space="preserve"> dovrà recare obbligatoriamente la seguente dicitura: “Programma Nazionale Equità della Salute” progetto n. 6 – Acquisizione e dotazione di protesi odontoiatriche cod. IN.4.5.1_03. Manifestazione d’interesse</w:t>
      </w:r>
    </w:p>
    <w:p w:rsidR="004E7455" w:rsidRDefault="003960A5">
      <w:pPr>
        <w:spacing w:line="264" w:lineRule="auto"/>
        <w:jc w:val="both"/>
        <w:rPr>
          <w:rFonts w:ascii="Garamond" w:hAnsi="Garamond" w:cs="Arial"/>
          <w:sz w:val="24"/>
          <w:szCs w:val="24"/>
        </w:rPr>
      </w:pPr>
      <w:r>
        <w:rPr>
          <w:rFonts w:ascii="Garamond" w:hAnsi="Garamond" w:cs="Arial"/>
          <w:sz w:val="24"/>
          <w:szCs w:val="24"/>
        </w:rPr>
        <w:t>Gli operatori economici, per il solo interesse manifestato in questa indagine, non potranno vantare alcun titolo, pretesa, preferenza o priorità in ordine all'affidamento della fornitura di cui sopra.</w:t>
      </w:r>
    </w:p>
    <w:p w:rsidR="004E7455" w:rsidRDefault="003960A5">
      <w:pPr>
        <w:spacing w:line="264" w:lineRule="auto"/>
        <w:jc w:val="both"/>
        <w:rPr>
          <w:rFonts w:ascii="Garamond" w:hAnsi="Garamond" w:cs="Arial"/>
          <w:sz w:val="24"/>
          <w:szCs w:val="24"/>
        </w:rPr>
      </w:pPr>
      <w:r>
        <w:rPr>
          <w:rFonts w:ascii="Garamond" w:hAnsi="Garamond" w:cs="Arial"/>
          <w:sz w:val="24"/>
          <w:szCs w:val="24"/>
        </w:rPr>
        <w:t>L’ASL n. 1 di Sassari si riserva, pertanto, in ogni caso di sospendere, interrompere o modificare, cessare definitivamente la presente indagine conoscitiva e di non dar seguito ad alcuna procedura, anche una volta acquisite le manifestazioni di interesse, senza che ciò possa costituire diritto o pretesa a qualsivoglia risarcimento, indennizzo o rimborso dei costi ovvero delle spese eventualmente sostenute dall’operatore economico, ovvero procedere comunque anche in presenza di manifestazioni d’interesse ad estendere l’invito ad altri operatori economici al fine di favorire la massima partecipazione.</w:t>
      </w:r>
    </w:p>
    <w:p w:rsidR="004E7455" w:rsidRDefault="004E7455">
      <w:pPr>
        <w:spacing w:line="264" w:lineRule="auto"/>
        <w:jc w:val="both"/>
        <w:rPr>
          <w:rFonts w:ascii="Garamond" w:hAnsi="Garamond" w:cs="Arial"/>
          <w:sz w:val="24"/>
          <w:szCs w:val="24"/>
        </w:rPr>
      </w:pPr>
    </w:p>
    <w:p w:rsidR="004E7455" w:rsidRDefault="004E7455">
      <w:pPr>
        <w:spacing w:line="264" w:lineRule="auto"/>
        <w:jc w:val="both"/>
        <w:rPr>
          <w:rFonts w:ascii="Garamond" w:hAnsi="Garamond" w:cs="Arial"/>
          <w:sz w:val="24"/>
          <w:szCs w:val="24"/>
        </w:rPr>
      </w:pPr>
    </w:p>
    <w:sectPr w:rsidR="004E7455">
      <w:headerReference w:type="default" r:id="rId9"/>
      <w:footerReference w:type="default" r:id="rId10"/>
      <w:pgSz w:w="11906" w:h="16838"/>
      <w:pgMar w:top="1532" w:right="1134" w:bottom="1134" w:left="1134" w:header="1417" w:footer="567"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35" w:rsidRDefault="00AF7D35">
      <w:pPr>
        <w:spacing w:after="0" w:line="240" w:lineRule="auto"/>
      </w:pPr>
      <w:r>
        <w:separator/>
      </w:r>
    </w:p>
  </w:endnote>
  <w:endnote w:type="continuationSeparator" w:id="0">
    <w:p w:rsidR="00AF7D35" w:rsidRDefault="00AF7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Liberation Mono"/>
    <w:panose1 w:val="00000400000000000000"/>
    <w:charset w:val="01"/>
    <w:family w:val="roman"/>
    <w:notTrueType/>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3505293"/>
      <w:docPartObj>
        <w:docPartGallery w:val="Page Numbers (Bottom of Page)"/>
        <w:docPartUnique/>
      </w:docPartObj>
    </w:sdtPr>
    <w:sdtEndPr/>
    <w:sdtContent>
      <w:p w:rsidR="004E7455" w:rsidRDefault="003960A5">
        <w:pPr>
          <w:pStyle w:val="Pidipagina"/>
          <w:jc w:val="right"/>
        </w:pPr>
        <w:r>
          <w:rPr>
            <w:noProof/>
            <w:lang w:eastAsia="it-IT"/>
          </w:rPr>
          <w:drawing>
            <wp:anchor distT="0" distB="0" distL="0" distR="0" simplePos="0" relativeHeight="4" behindDoc="1" locked="0" layoutInCell="0" allowOverlap="1">
              <wp:simplePos x="0" y="0"/>
              <wp:positionH relativeFrom="column">
                <wp:posOffset>3699510</wp:posOffset>
              </wp:positionH>
              <wp:positionV relativeFrom="paragraph">
                <wp:posOffset>123825</wp:posOffset>
              </wp:positionV>
              <wp:extent cx="1693545" cy="532765"/>
              <wp:effectExtent l="0" t="0" r="0" b="0"/>
              <wp:wrapNone/>
              <wp:docPr id="2"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8"/>
                      <pic:cNvPicPr>
                        <a:picLocks noChangeAspect="1" noChangeArrowheads="1"/>
                      </pic:cNvPicPr>
                    </pic:nvPicPr>
                    <pic:blipFill>
                      <a:blip r:embed="rId1"/>
                      <a:stretch>
                        <a:fillRect/>
                      </a:stretch>
                    </pic:blipFill>
                    <pic:spPr bwMode="auto">
                      <a:xfrm>
                        <a:off x="0" y="0"/>
                        <a:ext cx="1693545" cy="532765"/>
                      </a:xfrm>
                      <a:prstGeom prst="rect">
                        <a:avLst/>
                      </a:prstGeom>
                    </pic:spPr>
                  </pic:pic>
                </a:graphicData>
              </a:graphic>
            </wp:anchor>
          </w:drawing>
        </w:r>
      </w:p>
      <w:p w:rsidR="004E7455" w:rsidRDefault="003960A5">
        <w:pPr>
          <w:pStyle w:val="Pidipagina"/>
        </w:pPr>
        <w:r>
          <w:rPr>
            <w:noProof/>
            <w:lang w:eastAsia="it-IT"/>
          </w:rPr>
          <w:drawing>
            <wp:anchor distT="0" distB="0" distL="0" distR="0" simplePos="0" relativeHeight="10" behindDoc="1" locked="0" layoutInCell="0" allowOverlap="1">
              <wp:simplePos x="0" y="0"/>
              <wp:positionH relativeFrom="margin">
                <wp:posOffset>852805</wp:posOffset>
              </wp:positionH>
              <wp:positionV relativeFrom="paragraph">
                <wp:posOffset>27305</wp:posOffset>
              </wp:positionV>
              <wp:extent cx="1218565" cy="347345"/>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a:picLocks noChangeAspect="1" noChangeArrowheads="1"/>
                      </pic:cNvPicPr>
                    </pic:nvPicPr>
                    <pic:blipFill>
                      <a:blip r:embed="rId2"/>
                      <a:stretch>
                        <a:fillRect/>
                      </a:stretch>
                    </pic:blipFill>
                    <pic:spPr bwMode="auto">
                      <a:xfrm>
                        <a:off x="0" y="0"/>
                        <a:ext cx="1218565" cy="347345"/>
                      </a:xfrm>
                      <a:prstGeom prst="rect">
                        <a:avLst/>
                      </a:prstGeom>
                    </pic:spPr>
                  </pic:pic>
                </a:graphicData>
              </a:graphic>
            </wp:anchor>
          </w:drawing>
        </w:r>
        <w:r>
          <w:tab/>
        </w:r>
        <w:r>
          <w:tab/>
        </w:r>
        <w:r>
          <w:fldChar w:fldCharType="begin"/>
        </w:r>
        <w:r>
          <w:instrText xml:space="preserve"> PAGE </w:instrText>
        </w:r>
        <w:r>
          <w:fldChar w:fldCharType="separate"/>
        </w:r>
        <w:r w:rsidR="00FE2B5F">
          <w:rPr>
            <w:noProof/>
          </w:rPr>
          <w:t>3</w:t>
        </w:r>
        <w:r>
          <w:fldChar w:fldCharType="end"/>
        </w:r>
      </w:p>
    </w:sdtContent>
  </w:sdt>
  <w:p w:rsidR="004E7455" w:rsidRDefault="004E7455">
    <w:pPr>
      <w:pStyle w:val="Pidipa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35" w:rsidRDefault="00AF7D35">
      <w:pPr>
        <w:spacing w:after="0" w:line="240" w:lineRule="auto"/>
      </w:pPr>
      <w:r>
        <w:separator/>
      </w:r>
    </w:p>
  </w:footnote>
  <w:footnote w:type="continuationSeparator" w:id="0">
    <w:p w:rsidR="00AF7D35" w:rsidRDefault="00AF7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455" w:rsidRDefault="003960A5">
    <w:pPr>
      <w:pStyle w:val="Intestazione"/>
      <w:jc w:val="center"/>
    </w:pPr>
    <w:r>
      <w:rPr>
        <w:noProof/>
        <w:lang w:eastAsia="it-IT"/>
      </w:rPr>
      <w:drawing>
        <wp:anchor distT="0" distB="0" distL="114300" distR="114300" simplePos="0" relativeHeight="7" behindDoc="0" locked="0" layoutInCell="0" allowOverlap="1">
          <wp:simplePos x="0" y="0"/>
          <wp:positionH relativeFrom="margin">
            <wp:posOffset>31115</wp:posOffset>
          </wp:positionH>
          <wp:positionV relativeFrom="paragraph">
            <wp:posOffset>-480060</wp:posOffset>
          </wp:positionV>
          <wp:extent cx="6058535" cy="395605"/>
          <wp:effectExtent l="0" t="0" r="0" b="0"/>
          <wp:wrapThrough wrapText="bothSides">
            <wp:wrapPolygon edited="0">
              <wp:start x="-3" y="0"/>
              <wp:lineTo x="-3" y="20802"/>
              <wp:lineTo x="21527" y="20802"/>
              <wp:lineTo x="21527" y="0"/>
              <wp:lineTo x="-3" y="0"/>
            </wp:wrapPolygon>
          </wp:wrapThrough>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1"/>
                  <a:stretch>
                    <a:fillRect/>
                  </a:stretch>
                </pic:blipFill>
                <pic:spPr bwMode="auto">
                  <a:xfrm>
                    <a:off x="0" y="0"/>
                    <a:ext cx="6058535" cy="395605"/>
                  </a:xfrm>
                  <a:prstGeom prst="rect">
                    <a:avLst/>
                  </a:prstGeom>
                </pic:spPr>
              </pic:pic>
            </a:graphicData>
          </a:graphic>
        </wp:anchor>
      </w:drawing>
    </w:r>
  </w:p>
  <w:p w:rsidR="004E7455" w:rsidRDefault="004E7455">
    <w:pPr>
      <w:pStyle w:val="Intestazione"/>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481975"/>
    <w:multiLevelType w:val="multilevel"/>
    <w:tmpl w:val="CA92EAC4"/>
    <w:lvl w:ilvl="0">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56E43068"/>
    <w:multiLevelType w:val="multilevel"/>
    <w:tmpl w:val="98AEF7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57D40F3"/>
    <w:multiLevelType w:val="multilevel"/>
    <w:tmpl w:val="F8DA525A"/>
    <w:lvl w:ilvl="0">
      <w:start w:val="1"/>
      <w:numFmt w:val="bullet"/>
      <w:lvlText w:val=""/>
      <w:lvlJc w:val="left"/>
      <w:pPr>
        <w:tabs>
          <w:tab w:val="num" w:pos="0"/>
        </w:tabs>
        <w:ind w:left="732" w:hanging="372"/>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914550E"/>
    <w:multiLevelType w:val="multilevel"/>
    <w:tmpl w:val="80A6F4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455"/>
    <w:rsid w:val="0030788A"/>
    <w:rsid w:val="003960A5"/>
    <w:rsid w:val="00484963"/>
    <w:rsid w:val="004E7455"/>
    <w:rsid w:val="006F0D84"/>
    <w:rsid w:val="00AF7D35"/>
    <w:rsid w:val="00BB7497"/>
    <w:rsid w:val="00E06D58"/>
    <w:rsid w:val="00FE2B5F"/>
  </w:rsids>
  <m:mathPr>
    <m:mathFont m:val="Cambria Math"/>
    <m:brkBin m:val="before"/>
    <m:brkBinSub m:val="--"/>
    <m:smallFrac m:val="0"/>
    <m:dispDef/>
    <m:lMargin m:val="0"/>
    <m:rMargin m:val="0"/>
    <m:defJc m:val="centerGroup"/>
    <m:wrapIndent m:val="1440"/>
    <m:intLim m:val="subSup"/>
    <m:naryLim m:val="undOvr"/>
  </m:mathPr>
  <w:themeFontLang w:val="it-IT" w:eastAsia=""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2961C2-F6D2-4BFE-8FBD-07EC953E7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it-IT" w:eastAsia="en-US" w:bidi="bn-BD"/>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D3F00"/>
    <w:pPr>
      <w:spacing w:after="160" w:line="259" w:lineRule="auto"/>
    </w:pPr>
    <w:rPr>
      <w:szCs w:val="22"/>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6E3D79"/>
  </w:style>
  <w:style w:type="character" w:customStyle="1" w:styleId="PidipaginaCarattere">
    <w:name w:val="Piè di pagina Carattere"/>
    <w:basedOn w:val="Carpredefinitoparagrafo"/>
    <w:link w:val="Pidipagina"/>
    <w:uiPriority w:val="99"/>
    <w:qFormat/>
    <w:rsid w:val="006E3D79"/>
  </w:style>
  <w:style w:type="character" w:customStyle="1" w:styleId="CorpotestoCarattere">
    <w:name w:val="Corpo testo Carattere"/>
    <w:basedOn w:val="Carpredefinitoparagrafo"/>
    <w:link w:val="Corpotesto"/>
    <w:uiPriority w:val="1"/>
    <w:qFormat/>
    <w:rsid w:val="00EE3D9B"/>
    <w:rPr>
      <w:rFonts w:ascii="Times New Roman" w:eastAsia="Times New Roman" w:hAnsi="Times New Roman"/>
      <w:sz w:val="24"/>
      <w:szCs w:val="24"/>
      <w:lang w:val="en-US" w:bidi="ar-SA"/>
    </w:rPr>
  </w:style>
  <w:style w:type="character" w:styleId="Collegamentoipertestuale">
    <w:name w:val="Hyperlink"/>
    <w:basedOn w:val="Carpredefinitoparagrafo"/>
    <w:uiPriority w:val="99"/>
    <w:unhideWhenUsed/>
    <w:rsid w:val="00F14652"/>
    <w:rPr>
      <w:color w:val="0563C1" w:themeColor="hyperlink"/>
      <w:u w:val="single"/>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uiPriority w:val="1"/>
    <w:qFormat/>
    <w:rsid w:val="00EE3D9B"/>
    <w:pPr>
      <w:widowControl w:val="0"/>
      <w:spacing w:after="0" w:line="240" w:lineRule="auto"/>
      <w:ind w:left="118"/>
    </w:pPr>
    <w:rPr>
      <w:rFonts w:ascii="Times New Roman" w:eastAsia="Times New Roman" w:hAnsi="Times New Roman"/>
      <w:sz w:val="24"/>
      <w:szCs w:val="24"/>
      <w:lang w:val="en-US"/>
    </w:rPr>
  </w:style>
  <w:style w:type="paragraph" w:styleId="Elenco">
    <w:name w:val="List"/>
    <w:basedOn w:val="Normale"/>
    <w:rsid w:val="00EE3D9B"/>
    <w:pPr>
      <w:spacing w:after="0" w:line="240" w:lineRule="auto"/>
      <w:ind w:left="283" w:hanging="283"/>
    </w:pPr>
    <w:rPr>
      <w:rFonts w:ascii="Times New Roman" w:eastAsia="Times New Roman" w:hAnsi="Times New Roman" w:cs="Times New Roman"/>
      <w:sz w:val="20"/>
      <w:szCs w:val="20"/>
      <w:lang w:eastAsia="it-IT"/>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6E3D79"/>
    <w:pPr>
      <w:tabs>
        <w:tab w:val="center" w:pos="4819"/>
        <w:tab w:val="right" w:pos="9638"/>
      </w:tabs>
      <w:spacing w:after="0" w:line="240" w:lineRule="auto"/>
    </w:pPr>
  </w:style>
  <w:style w:type="paragraph" w:styleId="Pidipagina">
    <w:name w:val="footer"/>
    <w:basedOn w:val="Normale"/>
    <w:link w:val="PidipaginaCarattere"/>
    <w:uiPriority w:val="99"/>
    <w:unhideWhenUsed/>
    <w:rsid w:val="006E3D79"/>
    <w:pPr>
      <w:tabs>
        <w:tab w:val="center" w:pos="4819"/>
        <w:tab w:val="right" w:pos="9638"/>
      </w:tabs>
      <w:spacing w:after="0" w:line="240" w:lineRule="auto"/>
    </w:pPr>
  </w:style>
  <w:style w:type="paragraph" w:styleId="Paragrafoelenco">
    <w:name w:val="List Paragraph"/>
    <w:basedOn w:val="Normale"/>
    <w:uiPriority w:val="34"/>
    <w:qFormat/>
    <w:rsid w:val="00871ABB"/>
    <w:pPr>
      <w:ind w:left="720"/>
      <w:contextualSpacing/>
    </w:pPr>
  </w:style>
  <w:style w:type="paragraph" w:customStyle="1" w:styleId="Default">
    <w:name w:val="Default"/>
    <w:qFormat/>
    <w:rsid w:val="004A3502"/>
    <w:rPr>
      <w:rFonts w:ascii="Arial" w:eastAsia="Times New Roman" w:hAnsi="Arial" w:cs="Arial"/>
      <w:color w:val="000000"/>
      <w:kern w:val="2"/>
      <w:sz w:val="24"/>
      <w:szCs w:val="24"/>
      <w:lang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cquisti.gare@pec.aslsassari.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3A033-1088-4079-AC9E-B3C8019EC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1157</Words>
  <Characters>6596</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Schiaroli Stefano</dc:creator>
  <dc:description/>
  <cp:lastModifiedBy>Maria Laura Serra</cp:lastModifiedBy>
  <cp:revision>3</cp:revision>
  <dcterms:created xsi:type="dcterms:W3CDTF">2025-10-06T09:10:00Z</dcterms:created>
  <dcterms:modified xsi:type="dcterms:W3CDTF">2025-10-07T09:39:00Z</dcterms:modified>
  <dc:language>it-IT</dc:language>
</cp:coreProperties>
</file>