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both"/>
        <w:textAlignment w:val="baseline"/>
        <w:rPr>
          <w:rFonts w:ascii="Times New Roman" w:hAnsi="Times New Roman" w:eastAsia="NSimSun" w:cs="Times New Roman"/>
          <w:color w:val="000000" w:themeColor="text1"/>
          <w:kern w:val="2"/>
          <w:sz w:val="24"/>
          <w:szCs w:val="24"/>
          <w:lang w:bidi="hi-IN"/>
        </w:rPr>
      </w:pPr>
      <w:r>
        <w:rPr>
          <w:rFonts w:eastAsia="NSimSun" w:cs="Times New Roman" w:ascii="Times New Roman" w:hAnsi="Times New Roman"/>
          <w:color w:val="000000" w:themeColor="text1"/>
          <w:kern w:val="2"/>
          <w:sz w:val="24"/>
          <w:szCs w:val="24"/>
          <w:lang w:bidi="hi-IN"/>
        </w:rPr>
        <w:drawing>
          <wp:anchor behindDoc="0" distT="0" distB="0" distL="114300" distR="114300" simplePos="0" locked="0" layoutInCell="0" allowOverlap="1" relativeHeight="2">
            <wp:simplePos x="0" y="0"/>
            <wp:positionH relativeFrom="margin">
              <wp:posOffset>31115</wp:posOffset>
            </wp:positionH>
            <wp:positionV relativeFrom="paragraph">
              <wp:posOffset>-480060</wp:posOffset>
            </wp:positionV>
            <wp:extent cx="6058535" cy="395605"/>
            <wp:effectExtent l="0" t="0" r="0" b="0"/>
            <wp:wrapTight wrapText="bothSides">
              <wp:wrapPolygon edited="0">
                <wp:start x="-23" y="0"/>
                <wp:lineTo x="-23" y="20704"/>
                <wp:lineTo x="21498" y="20704"/>
                <wp:lineTo x="21498" y="0"/>
                <wp:lineTo x="-23" y="0"/>
              </wp:wrapPolygon>
            </wp:wrapTight>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058535" cy="395605"/>
                    </a:xfrm>
                    <a:prstGeom prst="rect">
                      <a:avLst/>
                    </a:prstGeom>
                  </pic:spPr>
                </pic:pic>
              </a:graphicData>
            </a:graphic>
          </wp:anchor>
        </w:drawing>
      </w:r>
    </w:p>
    <w:p>
      <w:pPr>
        <w:pStyle w:val="Normal"/>
        <w:spacing w:lineRule="auto" w:line="276" w:before="0" w:after="200"/>
        <w:jc w:val="both"/>
        <w:textAlignment w:val="baseline"/>
        <w:rPr>
          <w:rFonts w:ascii="Times New Roman" w:hAnsi="Times New Roman" w:eastAsia="NSimSun" w:cs="Times New Roman"/>
          <w:color w:val="000000" w:themeColor="text1"/>
          <w:kern w:val="2"/>
          <w:sz w:val="24"/>
          <w:szCs w:val="24"/>
          <w:lang w:bidi="hi-IN"/>
        </w:rPr>
      </w:pPr>
      <w:r>
        <w:rPr>
          <w:rFonts w:eastAsia="NSimSun" w:cs="Times New Roman" w:ascii="Times New Roman" w:hAnsi="Times New Roman"/>
          <w:b/>
          <w:color w:val="000000" w:themeColor="text1"/>
          <w:kern w:val="2"/>
          <w:sz w:val="24"/>
          <w:szCs w:val="24"/>
          <w:lang w:bidi="hi-IN"/>
        </w:rPr>
        <w:t>AVVISO PUBBLICO PER LA MANIFESTAZIONE DI INTERESSE FINALIZZATA ALL’INDIVIDUAZIONE DI ENTI DEL TERZO SETTORE DISPONIBILI A PARTECIPARE A UN TAVOLO DI CO-PROGETTAZIONE E ALLA SUCCESSIVA DEFINIZIONE E REALIZZAZIONE DI INTERVENTI SOCIO-SANITARI NELL’AMBITO DEL PN EQUITA’ NELLA SALUTE 2021-2027 – CUP  J29F24000960006</w:t>
      </w:r>
    </w:p>
    <w:p>
      <w:pPr>
        <w:pStyle w:val="Normal"/>
        <w:spacing w:lineRule="auto" w:line="276" w:before="0" w:after="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Premessa</w:t>
      </w:r>
    </w:p>
    <w:p>
      <w:pPr>
        <w:pStyle w:val="Normal"/>
        <w:spacing w:lineRule="auto" w:line="276" w:before="0" w:after="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Il Programma Nazionale Equità nella Salute interviene nelle sette Regioni meno sviluppate del Paese per rafforzare e migliorare la qualità dei servizi sanitari e renderne più equo l’accesso anche per le quote di popolazione che risentono maggiormente delle barriere di accesso al sistema.</w:t>
      </w:r>
    </w:p>
    <w:p>
      <w:pPr>
        <w:pStyle w:val="Normal"/>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Il PNES individua </w:t>
      </w:r>
      <w:r>
        <w:rPr>
          <w:rFonts w:eastAsia="NSimSun" w:cs="Times New Roman" w:ascii="Times New Roman" w:hAnsi="Times New Roman"/>
          <w:color w:val="000000"/>
          <w:kern w:val="2"/>
          <w:sz w:val="24"/>
          <w:szCs w:val="24"/>
          <w:u w:val="single"/>
          <w:lang w:bidi="hi-IN"/>
        </w:rPr>
        <w:t>4 ambiti di intervento:</w:t>
      </w:r>
    </w:p>
    <w:p>
      <w:pPr>
        <w:pStyle w:val="Normal"/>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r>
    </w:p>
    <w:p>
      <w:pPr>
        <w:pStyle w:val="ListParagraph"/>
        <w:numPr>
          <w:ilvl w:val="0"/>
          <w:numId w:val="10"/>
        </w:numPr>
        <w:spacing w:lineRule="auto" w:line="276" w:before="0" w:after="120"/>
        <w:contextualSpacing/>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Prendersi cura della salute mentale: Rafforzare i servizi dei DSM per la presa in carico personalizzata delle persone con problemi di salute mentale.</w:t>
      </w:r>
    </w:p>
    <w:p>
      <w:pPr>
        <w:pStyle w:val="ListParagraph"/>
        <w:numPr>
          <w:ilvl w:val="0"/>
          <w:numId w:val="10"/>
        </w:numPr>
        <w:spacing w:lineRule="auto" w:line="276" w:before="0" w:after="120"/>
        <w:contextualSpacing/>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Il genere al centro della cura: Rafforzare i servizi dei Consultori Familiari per la presa in carico in ottica di medicina di genere.</w:t>
      </w:r>
    </w:p>
    <w:p>
      <w:pPr>
        <w:pStyle w:val="ListParagraph"/>
        <w:numPr>
          <w:ilvl w:val="0"/>
          <w:numId w:val="10"/>
        </w:numPr>
        <w:spacing w:lineRule="auto" w:line="276" w:before="0" w:after="120"/>
        <w:contextualSpacing/>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Maggiore copertura degli screening oncologici: Rafforzare i servizi di screening per accrescere l'adesione ai tre programmi organizzati ovvero cancro mammella, collo dell'utero e colon-retto. </w:t>
      </w:r>
    </w:p>
    <w:p>
      <w:pPr>
        <w:pStyle w:val="ListParagraph"/>
        <w:numPr>
          <w:ilvl w:val="0"/>
          <w:numId w:val="10"/>
        </w:numPr>
        <w:spacing w:lineRule="auto" w:line="276" w:before="0" w:after="120"/>
        <w:contextualSpacing/>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Contrastare la povertà sanitaria: Presa in carico delle persone vulnerabili per ridurre le barriere di accesso ai servizi sanitari e sociosanitari.</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Il PNES prevede per le 4 aree di intervento le seguenti azioni e attività principali: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Presa in carico dei bisogni di salute delle persone vulnerabili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Presa in carico in </w:t>
      </w:r>
      <w:r>
        <w:rPr>
          <w:rFonts w:eastAsia="NSimSun" w:cs="Times New Roman" w:ascii="Times New Roman" w:hAnsi="Times New Roman"/>
          <w:i/>
          <w:color w:val="000000"/>
          <w:kern w:val="2"/>
          <w:sz w:val="24"/>
          <w:szCs w:val="24"/>
          <w:lang w:bidi="hi-IN"/>
        </w:rPr>
        <w:t>outreaching</w:t>
      </w:r>
      <w:r>
        <w:rPr>
          <w:rStyle w:val="Richiamoallanotaapidipagina"/>
          <w:rFonts w:eastAsia="NSimSun" w:cs="Times New Roman" w:ascii="Times New Roman" w:hAnsi="Times New Roman"/>
          <w:i/>
          <w:color w:val="000000"/>
          <w:kern w:val="2"/>
          <w:sz w:val="24"/>
          <w:szCs w:val="24"/>
          <w:lang w:bidi="hi-IN"/>
        </w:rPr>
        <w:footnoteReference w:id="2"/>
      </w:r>
      <w:r>
        <w:rPr>
          <w:rFonts w:eastAsia="NSimSun" w:cs="Times New Roman" w:ascii="Times New Roman" w:hAnsi="Times New Roman"/>
          <w:i/>
          <w:color w:val="000000"/>
          <w:kern w:val="2"/>
          <w:sz w:val="24"/>
          <w:szCs w:val="24"/>
          <w:lang w:bidi="hi-IN"/>
        </w:rPr>
        <w:t xml:space="preserve"> </w:t>
      </w:r>
      <w:r>
        <w:rPr>
          <w:rFonts w:eastAsia="NSimSun" w:cs="Times New Roman" w:ascii="Times New Roman" w:hAnsi="Times New Roman"/>
          <w:color w:val="000000"/>
          <w:kern w:val="2"/>
          <w:sz w:val="24"/>
          <w:szCs w:val="24"/>
          <w:lang w:bidi="hi-IN"/>
        </w:rPr>
        <w:t xml:space="preserve">delle persone vulnerabili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Rafforzamento dei servizi e del partenariato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Sperimentazione di percorsi/modelli di presa in carico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Miglioramento dell’organizzazione dei servizi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Adeguamento delle competenze del personale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Rafforzamento della resilienza e della capacità dei servizi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Adeguamento infrastrutturale di spazi esistenti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Adeguamento e potenziamento tecnologico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Acquisto di motorhome attrezzati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Aumento dell’utilizzo dei servizi e di azioni di sensibilizzazione </w:t>
      </w:r>
    </w:p>
    <w:p>
      <w:pPr>
        <w:pStyle w:val="Normal"/>
        <w:numPr>
          <w:ilvl w:val="0"/>
          <w:numId w:val="11"/>
        </w:numPr>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xml:space="preserve">Comunicazione e sensibilizzazione mirate al target </w:t>
      </w:r>
    </w:p>
    <w:p>
      <w:pPr>
        <w:pStyle w:val="Normal"/>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Nello specifico, il Programma - Interventi nell’area “Contrastare la povertà sanitaria” prevede il potenziamento della medicina di prossimità per la presa in carico dei bisogni di salute della popolazione in vulnerabilità socio-economica, attraverso l’</w:t>
      </w:r>
      <w:r>
        <w:rPr>
          <w:rFonts w:eastAsia="NSimSun" w:cs="Times New Roman" w:ascii="Times New Roman" w:hAnsi="Times New Roman"/>
          <w:i/>
          <w:color w:val="000000"/>
          <w:kern w:val="2"/>
          <w:sz w:val="24"/>
          <w:szCs w:val="24"/>
          <w:lang w:bidi="hi-IN"/>
        </w:rPr>
        <w:t>outreach</w:t>
      </w:r>
      <w:r>
        <w:rPr>
          <w:rFonts w:eastAsia="NSimSun" w:cs="Times New Roman" w:ascii="Times New Roman" w:hAnsi="Times New Roman"/>
          <w:color w:val="000000"/>
          <w:kern w:val="2"/>
          <w:sz w:val="24"/>
          <w:szCs w:val="24"/>
          <w:lang w:bidi="hi-IN"/>
        </w:rPr>
        <w:t xml:space="preserve"> e l’attivazione di Comunità, funzionali alla quantificazione e qualificazione dei bisogni di salute inespressi da rappresentare ai servizi territoriali e al loro soddisfacimento immediato. Attraverso un approccio di offerta attiva extra moenia si prevede l’erogazione delle prestazioni sanitarie mediante personale sanitario e socio-sanitario dedicato da utilizzare in attività di </w:t>
      </w:r>
      <w:r>
        <w:rPr>
          <w:rFonts w:eastAsia="NSimSun" w:cs="Times New Roman" w:ascii="Times New Roman" w:hAnsi="Times New Roman"/>
          <w:i/>
          <w:iCs/>
          <w:color w:val="000000"/>
          <w:kern w:val="2"/>
          <w:sz w:val="24"/>
          <w:szCs w:val="24"/>
          <w:lang w:bidi="hi-IN"/>
        </w:rPr>
        <w:t>outreach</w:t>
      </w:r>
      <w:r>
        <w:rPr>
          <w:rFonts w:eastAsia="NSimSun" w:cs="Times New Roman" w:ascii="Times New Roman" w:hAnsi="Times New Roman"/>
          <w:color w:val="000000"/>
          <w:kern w:val="2"/>
          <w:sz w:val="24"/>
          <w:szCs w:val="24"/>
          <w:lang w:bidi="hi-IN"/>
        </w:rPr>
        <w:t xml:space="preserve">, che operi anche in ambulatori mobili, oltre che in spazi già esistenti, in collaborazione con tutte le articolazioni del territorio (a titolo esemplificativo e non esaustivo, ETS, parrocchie e strutture dei servizi sociali dei Comuni), in modo da raggiungere le persone </w:t>
      </w:r>
      <w:r>
        <w:rPr>
          <w:rFonts w:eastAsia="NSimSun" w:cs="Times New Roman" w:ascii="Times New Roman" w:hAnsi="Times New Roman"/>
          <w:i/>
          <w:color w:val="000000"/>
          <w:kern w:val="2"/>
          <w:sz w:val="24"/>
          <w:szCs w:val="24"/>
          <w:lang w:bidi="hi-IN"/>
        </w:rPr>
        <w:t>hard to reach</w:t>
      </w:r>
      <w:r>
        <w:rPr>
          <w:rStyle w:val="Richiamoallanotaapidipagina"/>
          <w:rFonts w:eastAsia="NSimSun" w:cs="Times New Roman" w:ascii="Times New Roman" w:hAnsi="Times New Roman"/>
          <w:color w:val="000000"/>
          <w:kern w:val="2"/>
          <w:sz w:val="24"/>
          <w:szCs w:val="24"/>
          <w:lang w:bidi="hi-IN"/>
        </w:rPr>
        <w:footnoteReference w:id="3"/>
      </w:r>
      <w:r>
        <w:rPr>
          <w:rFonts w:eastAsia="NSimSun" w:cs="Times New Roman" w:ascii="Times New Roman" w:hAnsi="Times New Roman"/>
          <w:color w:val="000000"/>
          <w:kern w:val="2"/>
          <w:sz w:val="24"/>
          <w:szCs w:val="24"/>
          <w:lang w:bidi="hi-IN"/>
        </w:rPr>
        <w:t xml:space="preserve"> e la popolazione invisibile ai servizi sanitari, per soddisfarne i bisogni di cura all’interno di percorsi clinico-assistenziali e prevedendo, qualora necessaria, l’erogazione di medicinali e dispositivi i cui costi sono a carico del paziente e, ove necessario, il </w:t>
      </w:r>
      <w:r>
        <w:rPr>
          <w:rFonts w:eastAsia="NSimSun" w:cs="Times New Roman" w:ascii="Times New Roman" w:hAnsi="Times New Roman"/>
          <w:i/>
          <w:iCs/>
          <w:color w:val="000000"/>
          <w:kern w:val="2"/>
          <w:sz w:val="24"/>
          <w:szCs w:val="24"/>
          <w:lang w:bidi="hi-IN"/>
        </w:rPr>
        <w:t>referral</w:t>
      </w:r>
      <w:r>
        <w:rPr>
          <w:rStyle w:val="Richiamoallanotaapidipagina"/>
          <w:rFonts w:eastAsia="NSimSun" w:cs="Times New Roman" w:ascii="Times New Roman" w:hAnsi="Times New Roman"/>
          <w:i/>
          <w:iCs/>
          <w:color w:val="000000"/>
          <w:kern w:val="2"/>
          <w:sz w:val="24"/>
          <w:szCs w:val="24"/>
          <w:lang w:bidi="hi-IN"/>
        </w:rPr>
        <w:footnoteReference w:id="4"/>
      </w:r>
      <w:r>
        <w:rPr>
          <w:rFonts w:eastAsia="NSimSun" w:cs="Times New Roman" w:ascii="Times New Roman" w:hAnsi="Times New Roman"/>
          <w:color w:val="000000"/>
          <w:kern w:val="2"/>
          <w:sz w:val="24"/>
          <w:szCs w:val="24"/>
          <w:lang w:bidi="hi-IN"/>
        </w:rPr>
        <w:t xml:space="preserve"> verso le strutture della medicina territoriale o ospedaliere. Funzionali a tale modalità operativa saranno gli accordi di co-progettazione con gli ETS e il coinvolgimento, nel partenariato operativo, dei servizi sociali dei Comuni, per facilitare ingaggio e compliance delle persone in povertà sanitaria. Gli ETS forniranno supporto alle AS nell’individuazione e nella qualificazione dei bisogni di salute e faciliteranno la presa in carico efficace dei destinatari delle azioni all’interno dei percorsi clinico- assistenziali. Ancora, gli ETS potranno supportare le AS nell’ingaggio efficace dei destinatari collaborando con i servizi socio-assistenziali attivi sul territorio. </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Il Programma identifica gli individui in stato di vulnerabilità socio-economica la cui presa in carico sanitaria e socio sanitaria risulti non adeguata o anche inesistente (es. individui con mancanza o instabilità di reddito, di lavoro o di abitazione, soggetti invisibili con elevata marginalità sociale come i senza fissa dimora e cittadini di paesi terzi, individui con vulnerabilità psichica e quindi sociale) nel rispetto della Carta dei diritti fondamentali della UE, sia in termini di non discriminazione che di protezione della salute.</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I criteri di individuazione dei destinatari e le modalità di attestazione dei requisiti, sono definiti</w:t>
      </w:r>
    </w:p>
    <w:p>
      <w:pPr>
        <w:pStyle w:val="Normal"/>
        <w:spacing w:lineRule="auto" w:line="276" w:before="0" w:after="12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tenuto conto:</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della peculiarità dei destinatari, ossia persone che, per ragioni di disagio sociale o economico, non accedono o hanno difficoltà di accesso alle cure sanitarie;</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delle soluzioni organizzative previste dal PNES per il contrasto alla povertà sanitaria, ovvero attività di ambulatori di prossimità e motorhome itineranti;</w:t>
      </w:r>
    </w:p>
    <w:p>
      <w:pPr>
        <w:pStyle w:val="Normal"/>
        <w:spacing w:lineRule="auto" w:line="276" w:before="0" w:after="120"/>
        <w:ind w:firstLine="709"/>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kern w:val="2"/>
          <w:sz w:val="24"/>
          <w:szCs w:val="24"/>
          <w:lang w:bidi="hi-IN"/>
        </w:rPr>
        <w:t>- dell’esperienza dell’Organismo Intermedio nella tematica e delle modalità operative consolidate presso lo stesso, come definite nel “Disciplinare per l’erogazione in regime di solidarietà di beni e prestazioni sanitarie in favore dell’utenza che versa in condizioni di indigenza e di povertà”</w:t>
      </w:r>
    </w:p>
    <w:p>
      <w:pPr>
        <w:pStyle w:val="Normal"/>
        <w:spacing w:lineRule="auto" w:line="276" w:before="0" w:after="0"/>
        <w:jc w:val="both"/>
        <w:textAlignment w:val="baseline"/>
        <w:rPr>
          <w:rFonts w:ascii="Cambria Math" w:hAnsi="Cambria Math" w:eastAsia="NSimSun" w:cs="Arial"/>
          <w:b/>
          <w:b/>
          <w:bCs/>
          <w:color w:val="000000"/>
          <w:kern w:val="2"/>
          <w:sz w:val="24"/>
          <w:szCs w:val="24"/>
          <w:lang w:eastAsia="it-IT" w:bidi="hi-IN"/>
        </w:rPr>
      </w:pPr>
      <w:r>
        <w:rPr>
          <w:rFonts w:eastAsia="NSimSun" w:cs="Arial" w:ascii="Cambria Math" w:hAnsi="Cambria Math"/>
          <w:b/>
          <w:bCs/>
          <w:color w:val="000000"/>
          <w:kern w:val="2"/>
          <w:sz w:val="24"/>
          <w:szCs w:val="24"/>
          <w:lang w:eastAsia="it-IT" w:bidi="hi-IN"/>
        </w:rPr>
      </w:r>
    </w:p>
    <w:p>
      <w:pPr>
        <w:pStyle w:val="Normal"/>
        <w:spacing w:lineRule="auto" w:line="276" w:before="0" w:after="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art. 1 – Oggetto dell’avviso</w:t>
      </w:r>
    </w:p>
    <w:p>
      <w:pPr>
        <w:pStyle w:val="ListParagraph"/>
        <w:numPr>
          <w:ilvl w:val="0"/>
          <w:numId w:val="19"/>
        </w:numPr>
        <w:spacing w:lineRule="auto" w:line="276"/>
        <w:jc w:val="both"/>
        <w:rPr>
          <w:rFonts w:ascii="Times New Roman" w:hAnsi="Times New Roman" w:eastAsia="NSimSun" w:cs="Times New Roman"/>
          <w:color w:val="000000" w:themeColor="text1"/>
          <w:sz w:val="24"/>
          <w:szCs w:val="24"/>
          <w:lang w:eastAsia="it-IT"/>
        </w:rPr>
      </w:pPr>
      <w:r>
        <w:rPr>
          <w:rFonts w:eastAsia="Times New Roman" w:cs="Times New Roman" w:ascii="Times New Roman" w:hAnsi="Times New Roman"/>
          <w:color w:val="000000" w:themeColor="text1"/>
          <w:sz w:val="24"/>
          <w:szCs w:val="24"/>
        </w:rPr>
        <w:t xml:space="preserve">Il presente Avviso di selezione (a seguire anche “Avviso”), adottato ai sensi dell’art. 55, co. 3, del D.Lgs. n. 117/2017 e del D.M. n. 72/2021 del Ministero del Lavoro e delle Politiche Sociali, garantendo sempre e comunque i principi dell’art. 1 della L. 241/1990, è finalizzato ad avviare una procedura di collaborazione mediante co-progettazione con gli Enti del Terzo Settore (in avanti anche solo “ETS”), </w:t>
      </w:r>
      <w:r>
        <w:rPr>
          <w:rFonts w:eastAsia="NSimSun" w:cs="Times New Roman" w:ascii="Times New Roman" w:hAnsi="Times New Roman"/>
          <w:color w:val="000000" w:themeColor="text1"/>
          <w:sz w:val="24"/>
          <w:szCs w:val="24"/>
          <w:lang w:eastAsia="it-IT"/>
        </w:rPr>
        <w:t xml:space="preserve">per la </w:t>
      </w:r>
      <w:r>
        <w:rPr>
          <w:rFonts w:eastAsia="NSimSun" w:cs="Times New Roman" w:ascii="Times New Roman" w:hAnsi="Times New Roman"/>
          <w:b/>
          <w:color w:val="000000" w:themeColor="text1"/>
          <w:sz w:val="24"/>
          <w:szCs w:val="24"/>
          <w:lang w:eastAsia="it-IT"/>
        </w:rPr>
        <w:t>identificazione dei soggetti beneficiari</w:t>
      </w:r>
      <w:r>
        <w:rPr>
          <w:rFonts w:eastAsia="NSimSun" w:cs="Times New Roman" w:ascii="Times New Roman" w:hAnsi="Times New Roman"/>
          <w:color w:val="000000" w:themeColor="text1"/>
          <w:sz w:val="24"/>
          <w:szCs w:val="24"/>
          <w:lang w:eastAsia="it-IT"/>
        </w:rPr>
        <w:t xml:space="preserve"> degli interventi socio-sanitari nell’ambito del progetto citato in premessa. </w:t>
      </w:r>
    </w:p>
    <w:p>
      <w:pPr>
        <w:pStyle w:val="ListParagraph"/>
        <w:spacing w:lineRule="auto" w:line="276"/>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Gli ETS possono partecipare in forma singola o in forma associata costituita</w:t>
      </w:r>
      <w:r>
        <w:rPr>
          <w:rFonts w:eastAsia="Times New Roman" w:cs="Times New Roman" w:ascii="Times New Roman" w:hAnsi="Times New Roman"/>
          <w:strike/>
          <w:color w:val="000000" w:themeColor="text1"/>
          <w:sz w:val="24"/>
          <w:szCs w:val="24"/>
        </w:rPr>
        <w:t xml:space="preserve"> </w:t>
      </w:r>
      <w:r>
        <w:rPr>
          <w:rFonts w:eastAsia="Times New Roman" w:cs="Times New Roman" w:ascii="Times New Roman" w:hAnsi="Times New Roman"/>
          <w:color w:val="000000" w:themeColor="text1"/>
          <w:sz w:val="24"/>
          <w:szCs w:val="24"/>
        </w:rPr>
        <w:t>o costituenda basata in ossequio a quanto descritto nel successivo articolo 2 del presente avviso.</w:t>
      </w:r>
    </w:p>
    <w:p>
      <w:pPr>
        <w:pStyle w:val="Normal"/>
        <w:spacing w:lineRule="auto" w:line="276" w:before="0" w:after="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r>
    </w:p>
    <w:p>
      <w:pPr>
        <w:pStyle w:val="Normal"/>
        <w:spacing w:lineRule="auto" w:line="276" w:before="0" w:after="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Art. 2 – Indirizzi per la co-progettazione</w:t>
      </w:r>
    </w:p>
    <w:p>
      <w:pPr>
        <w:pStyle w:val="Normal"/>
        <w:spacing w:lineRule="auto" w:line="276" w:before="0" w:after="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Normal"/>
        <w:spacing w:lineRule="auto" w:line="276" w:before="0" w:after="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Gli ETS che manifesteranno il proprio interesse a partecipare alla presente procedura, previa verifica del possesso dei requisiti di partecipazione e, nel caso previsto dall’art. 5, del rispetto dei criteri di selezione previsti dal presente avviso, verranno invitati a partecipare ad un tavolo di co-progettazione.</w:t>
      </w:r>
    </w:p>
    <w:p>
      <w:pPr>
        <w:pStyle w:val="Normal"/>
        <w:spacing w:lineRule="auto" w:line="276" w:before="0" w:after="0"/>
        <w:ind w:left="720"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Normal"/>
        <w:spacing w:lineRule="auto" w:line="276" w:before="0" w:after="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Il tavolo sarà chiamato a co-progettare un modello di collaborazione tra la ASL 1 Sassari e gli ETS in grado di soddisfare le seguenti esigenze:</w:t>
      </w:r>
    </w:p>
    <w:p>
      <w:pPr>
        <w:pStyle w:val="Normal"/>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ListParagraph"/>
        <w:ind w:left="567" w:hanging="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ListParagraph"/>
        <w:numPr>
          <w:ilvl w:val="0"/>
          <w:numId w:val="12"/>
        </w:numPr>
        <w:ind w:left="567" w:hanging="36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Identificazione dei soggetti beneficiari.</w:t>
      </w:r>
    </w:p>
    <w:p>
      <w:pPr>
        <w:pStyle w:val="ListParagraph"/>
        <w:numPr>
          <w:ilvl w:val="0"/>
          <w:numId w:val="12"/>
        </w:numPr>
        <w:ind w:left="567" w:hanging="36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Potenziamento dell’utilizzo dei servizi sanitari e socio-sanitari che prevedano azioni atte a favorire la medicina di prossimità, rivolta ai soggetti indigenti o in disagio socio-economico, attestato dall’ ETS accreditato, individuato dall’ Azienda, a seguito della procedura in parola, stante la funzione dell’ETS medesimo, di orientamento dei soggetti in povertà sanitaria verso i servizi sanitari accessibili sul territorio. I criteri per la detta attestazione saranno quelli già previsti dal “Disciplinare per l’erogazione in regime di solidarietà di beni e prestazioni sanitarie” redatto dall’ INMP.</w:t>
      </w:r>
    </w:p>
    <w:p>
      <w:pPr>
        <w:pStyle w:val="ListParagraph"/>
        <w:numPr>
          <w:ilvl w:val="0"/>
          <w:numId w:val="12"/>
        </w:numPr>
        <w:ind w:left="567" w:hanging="36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Rafforzamento di attività di setting assistenziali e di </w:t>
      </w:r>
      <w:r>
        <w:rPr>
          <w:rFonts w:eastAsia="NSimSun" w:cs="Times New Roman" w:ascii="Times New Roman" w:hAnsi="Times New Roman"/>
          <w:i/>
          <w:iCs/>
          <w:color w:val="000000"/>
          <w:kern w:val="2"/>
          <w:sz w:val="24"/>
          <w:szCs w:val="24"/>
          <w:lang w:eastAsia="it-IT" w:bidi="hi-IN"/>
        </w:rPr>
        <w:t>outreach</w:t>
      </w:r>
      <w:r>
        <w:rPr>
          <w:rFonts w:eastAsia="NSimSun" w:cs="Times New Roman" w:ascii="Times New Roman" w:hAnsi="Times New Roman"/>
          <w:color w:val="000000"/>
          <w:kern w:val="2"/>
          <w:sz w:val="24"/>
          <w:szCs w:val="24"/>
          <w:lang w:eastAsia="it-IT" w:bidi="hi-IN"/>
        </w:rPr>
        <w:t xml:space="preserve"> in contesti deprivati ad elevata marginalità sociale per coloro che vivono in insediamenti non autorizzati, palazzi occupati abusivamente, ovvero non dispongono di documenti anagrafici;</w:t>
      </w:r>
    </w:p>
    <w:p>
      <w:pPr>
        <w:pStyle w:val="ListParagraph"/>
        <w:numPr>
          <w:ilvl w:val="0"/>
          <w:numId w:val="12"/>
        </w:numPr>
        <w:ind w:left="567" w:hanging="36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Implementazione di attività </w:t>
      </w:r>
      <w:r>
        <w:rPr>
          <w:rFonts w:eastAsia="NSimSun" w:cs="Times New Roman" w:ascii="Times New Roman" w:hAnsi="Times New Roman"/>
          <w:i/>
          <w:iCs/>
          <w:color w:val="000000"/>
          <w:kern w:val="2"/>
          <w:sz w:val="24"/>
          <w:szCs w:val="24"/>
          <w:lang w:eastAsia="it-IT" w:bidi="hi-IN"/>
        </w:rPr>
        <w:t>outreach</w:t>
      </w:r>
      <w:r>
        <w:rPr>
          <w:rFonts w:eastAsia="NSimSun" w:cs="Times New Roman" w:ascii="Times New Roman" w:hAnsi="Times New Roman"/>
          <w:color w:val="000000"/>
          <w:kern w:val="2"/>
          <w:sz w:val="24"/>
          <w:szCs w:val="24"/>
          <w:lang w:eastAsia="it-IT" w:bidi="hi-IN"/>
        </w:rPr>
        <w:t xml:space="preserve"> in comunità distanti dai punti principali ed ordinari di erogazione delle prestazioni sanitarie in considerazione di un contesto di isolamento, per conformazione geo/orografica del territorio.</w:t>
      </w:r>
    </w:p>
    <w:p>
      <w:pPr>
        <w:pStyle w:val="ListParagraph"/>
        <w:numPr>
          <w:ilvl w:val="0"/>
          <w:numId w:val="12"/>
        </w:numPr>
        <w:ind w:left="567" w:hanging="360"/>
        <w:jc w:val="both"/>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Erogazione/distribuzione farmaci</w:t>
      </w:r>
      <w:r>
        <w:rPr>
          <w:rFonts w:cs="Times New Roman" w:ascii="Times New Roman" w:hAnsi="Times New Roman"/>
        </w:rPr>
        <w:t>: Erogazione</w:t>
      </w:r>
      <w:r>
        <w:rPr>
          <w:rFonts w:eastAsia="NSimSun" w:cs="Times New Roman" w:ascii="Times New Roman" w:hAnsi="Times New Roman"/>
          <w:color w:val="000000"/>
          <w:kern w:val="2"/>
          <w:sz w:val="24"/>
          <w:szCs w:val="24"/>
          <w:lang w:bidi="hi-IN"/>
        </w:rPr>
        <w:t xml:space="preserve"> di medicinali in fascia C o fascia A senza nota AIFA</w:t>
      </w:r>
      <w:r>
        <w:rPr>
          <w:rStyle w:val="Richiamoallanotaapidipagina"/>
          <w:rFonts w:eastAsia="NSimSun" w:cs="Times New Roman" w:ascii="Times New Roman" w:hAnsi="Times New Roman"/>
          <w:color w:val="000000"/>
          <w:kern w:val="2"/>
          <w:sz w:val="24"/>
          <w:szCs w:val="24"/>
          <w:lang w:bidi="hi-IN"/>
        </w:rPr>
        <w:footnoteReference w:id="5"/>
      </w:r>
      <w:r>
        <w:rPr>
          <w:rFonts w:eastAsia="NSimSun" w:cs="Times New Roman" w:ascii="Times New Roman" w:hAnsi="Times New Roman"/>
          <w:color w:val="000000"/>
          <w:kern w:val="2"/>
          <w:sz w:val="24"/>
          <w:szCs w:val="24"/>
          <w:lang w:bidi="hi-IN"/>
        </w:rPr>
        <w:t xml:space="preserve"> o di dispositivi medici durevoli (ad esempio protesi odontoiatriche secondo quanto previsto dal programma PNES.</w:t>
      </w:r>
    </w:p>
    <w:p>
      <w:pPr>
        <w:pStyle w:val="ListParagraph"/>
        <w:ind w:left="1440" w:hanging="0"/>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Normal"/>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Le attività sopra descritte sono esplicitate nelle schede progettuali allegate al presente avviso.</w:t>
      </w:r>
    </w:p>
    <w:p>
      <w:pPr>
        <w:pStyle w:val="Normal"/>
        <w:spacing w:lineRule="auto" w:line="276" w:before="0" w:after="0"/>
        <w:jc w:val="both"/>
        <w:textAlignment w:val="baseline"/>
        <w:rPr>
          <w:rFonts w:ascii="Times New Roman" w:hAnsi="Times New Roman" w:eastAsia="MS Mincho" w:cs="Times New Roman"/>
          <w:color w:val="000000"/>
          <w:kern w:val="2"/>
          <w:sz w:val="24"/>
          <w:szCs w:val="24"/>
          <w:lang w:eastAsia="it-IT" w:bidi="hi-IN"/>
        </w:rPr>
      </w:pPr>
      <w:r>
        <w:rPr>
          <w:rFonts w:eastAsia="MS Mincho" w:cs="Times New Roman" w:ascii="Times New Roman" w:hAnsi="Times New Roman"/>
          <w:color w:val="000000"/>
          <w:kern w:val="2"/>
          <w:sz w:val="24"/>
          <w:szCs w:val="24"/>
          <w:lang w:eastAsia="it-IT" w:bidi="hi-IN"/>
        </w:rPr>
      </w:r>
    </w:p>
    <w:p>
      <w:pPr>
        <w:pStyle w:val="Normal"/>
        <w:numPr>
          <w:ilvl w:val="0"/>
          <w:numId w:val="1"/>
        </w:numPr>
        <w:spacing w:lineRule="auto" w:line="276" w:before="0" w:after="0"/>
        <w:jc w:val="both"/>
        <w:textAlignment w:val="baseline"/>
        <w:rPr>
          <w:rFonts w:ascii="Times New Roman" w:hAnsi="Times New Roman" w:eastAsia="MS Mincho" w:cs="Times New Roman"/>
          <w:color w:val="000000"/>
          <w:kern w:val="2"/>
          <w:sz w:val="24"/>
          <w:szCs w:val="24"/>
          <w:lang w:eastAsia="it-IT" w:bidi="hi-IN"/>
        </w:rPr>
      </w:pPr>
      <w:r>
        <w:rPr>
          <w:rFonts w:eastAsia="MS Mincho" w:cs="Times New Roman" w:ascii="Times New Roman" w:hAnsi="Times New Roman"/>
          <w:color w:val="000000"/>
          <w:kern w:val="2"/>
          <w:sz w:val="24"/>
          <w:szCs w:val="24"/>
          <w:lang w:eastAsia="it-IT" w:bidi="hi-IN"/>
        </w:rPr>
        <w:t>La procedura di co-progettazione si articolerà nelle seguenti fasi:</w:t>
      </w:r>
    </w:p>
    <w:p>
      <w:pPr>
        <w:pStyle w:val="Normal"/>
        <w:spacing w:lineRule="auto" w:line="276" w:before="0" w:after="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Normal"/>
        <w:numPr>
          <w:ilvl w:val="0"/>
          <w:numId w:val="2"/>
        </w:numPr>
        <w:spacing w:lineRule="auto" w:line="276" w:before="0" w:after="0"/>
        <w:ind w:left="1068" w:hanging="36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 xml:space="preserve">Individuazione degli ETS interessati </w:t>
      </w:r>
      <w:r>
        <w:rPr>
          <w:rFonts w:eastAsia="NSimSun" w:cs="Times New Roman" w:ascii="Times New Roman" w:hAnsi="Times New Roman"/>
          <w:color w:val="000000"/>
          <w:kern w:val="2"/>
          <w:sz w:val="24"/>
          <w:szCs w:val="24"/>
          <w:lang w:eastAsia="it-IT" w:bidi="hi-IN"/>
        </w:rPr>
        <w:t>(artt. 3-4)</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Sulla base di quanto previsto dal presente avviso pubblico, l’ASL 1 Sassari provvederà a selezionare, previa verifica del possesso e del rispetto dei requisiti e dei criteri previsti dal presente avviso, gli ETS che manifesteranno l’interesse a partecipare al tavolo di co-progettazione e alla successiva realizzazione delle attività di cui all’art. 1. </w:t>
      </w:r>
    </w:p>
    <w:p>
      <w:pPr>
        <w:pStyle w:val="Normal"/>
        <w:spacing w:lineRule="auto" w:line="276" w:before="0" w:after="0"/>
        <w:ind w:left="1428"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r>
    </w:p>
    <w:p>
      <w:pPr>
        <w:pStyle w:val="Normal"/>
        <w:numPr>
          <w:ilvl w:val="0"/>
          <w:numId w:val="2"/>
        </w:numPr>
        <w:spacing w:lineRule="auto" w:line="276" w:before="0" w:after="0"/>
        <w:ind w:left="1068" w:hanging="36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 xml:space="preserve">Tavolo di co-progettazione </w:t>
      </w:r>
      <w:r>
        <w:rPr>
          <w:rFonts w:eastAsia="NSimSun" w:cs="Times New Roman" w:ascii="Times New Roman" w:hAnsi="Times New Roman"/>
          <w:color w:val="000000"/>
          <w:kern w:val="2"/>
          <w:sz w:val="24"/>
          <w:szCs w:val="24"/>
          <w:lang w:eastAsia="it-IT" w:bidi="hi-IN"/>
        </w:rPr>
        <w:t>(art. 9)</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Il tavolo di co-progettazione vedrà la partecipazione necessaria dell’ASL 1 Sassari e degli ETS e avrà lo scopo di definire il modello di collaborazione in base agli indirizzi previsti all’art. 2. </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Le attività del tavolo di co-progettazione si svolgeranno secondo le modalità indicate nell’art. 9 del presente avviso.</w:t>
      </w:r>
    </w:p>
    <w:p>
      <w:pPr>
        <w:pStyle w:val="Normal"/>
        <w:spacing w:lineRule="auto" w:line="276" w:before="0" w:after="0"/>
        <w:ind w:left="1428" w:hanging="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r>
    </w:p>
    <w:p>
      <w:pPr>
        <w:pStyle w:val="Normal"/>
        <w:numPr>
          <w:ilvl w:val="0"/>
          <w:numId w:val="2"/>
        </w:numPr>
        <w:spacing w:lineRule="auto" w:line="276" w:before="0" w:after="0"/>
        <w:ind w:left="1068" w:hanging="36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themeColor="text1"/>
          <w:kern w:val="2"/>
          <w:sz w:val="24"/>
          <w:szCs w:val="24"/>
          <w:lang w:eastAsia="it-IT" w:bidi="hi-IN"/>
        </w:rPr>
        <w:t xml:space="preserve">Conclusione dei lavori del tavolo e sottoscrizione della convenzione </w:t>
      </w:r>
      <w:r>
        <w:rPr>
          <w:rFonts w:eastAsia="NSimSun" w:cs="Times New Roman" w:ascii="Times New Roman" w:hAnsi="Times New Roman"/>
          <w:color w:val="000000" w:themeColor="text1"/>
          <w:kern w:val="2"/>
          <w:sz w:val="24"/>
          <w:szCs w:val="24"/>
          <w:lang w:eastAsia="it-IT" w:bidi="hi-IN"/>
        </w:rPr>
        <w:t>(art. 10)</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I lavori del tavolo devono concludersi entro 30 giorni dalla riunione di insediamento. In occasione della seduta convocata per la conclusione dei lavori, l’ASL 1 Sassari pone all’esame del tavolo un documento illustrativo del modello di collaborazione come risultante dalle precedenti sedute di co-progettazione. Qualora l’ASL 1 Sassari dichiari che esso risponde all’interesse pubblico, ogni ETS dichiara di aderire o non aderire al modello medesimo. Fatta salva la facoltà dell’ASL 1 Sassari di aggiornare la seduta, anche oltre il termine sopra indicato, al fine di raggiungere un più ampio consenso, la mancata adesione al modello di collaborazione comporta la rinuncia a partecipare alle fasi successive. Della seduta è redatto, anche ai sensi e per gli effetti dell’art. 11 della legge n. 241/1990, un verbale, sottoscritto da tutte le parti e del quale il documento illustrativo del modello di collaborazione costituisce parte integrante. </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Successivamente, e comunque prima del coinvolgimento degli ETS nella realizzazione degli interventi di cui all’art. 1, l’ASL 1 Sassari e gli ETS aderenti sottoscrivono una convenzione, con la quale regolano, in base al modello di collaborazione co-progettato, i reciproci rapporti al fine della realizzazione congiunta delle attività. Il tavolo potrà stabilire che i rapporti fra ASL 1 Sassari e gli ETS siano disciplinati anche da più convenzioni. </w:t>
      </w:r>
    </w:p>
    <w:p>
      <w:pPr>
        <w:pStyle w:val="Normal"/>
        <w:spacing w:lineRule="auto" w:line="276" w:before="0" w:after="0"/>
        <w:ind w:left="1134" w:hanging="0"/>
        <w:jc w:val="both"/>
        <w:textAlignment w:val="baseline"/>
        <w:rPr>
          <w:rFonts w:ascii="Times New Roman" w:hAnsi="Times New Roman" w:eastAsia="NSimSun" w:cs="Times New Roman"/>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Nell’ipotesi in cui, in occasione della seduta convocata per la conclusione dei lavori, l’AS dichiari che il modello di collaborazione, come risultante dalle precedenti sedute di co-progettazione, non corrisponde all’interesse pubblico, della seduta è redatto un verbale, sottoscritto da tutte le parti, e non si dà luogo alla stipulazione di alcuna convenzione. In tal caso, l’ASL 1 Sassari si riserva di rinnovare il procedimento di co-progettazione o dichiararne l’interruzione.</w:t>
      </w:r>
    </w:p>
    <w:p>
      <w:pPr>
        <w:pStyle w:val="Normal"/>
        <w:spacing w:lineRule="auto" w:line="276" w:before="0" w:after="0"/>
        <w:ind w:left="1428" w:hanging="0"/>
        <w:jc w:val="both"/>
        <w:textAlignment w:val="baseline"/>
        <w:rPr>
          <w:rFonts w:ascii="Times New Roman" w:hAnsi="Times New Roman" w:eastAsia="NSimSun" w:cs="Times New Roman"/>
          <w:strike/>
          <w:color w:val="000000"/>
          <w:kern w:val="2"/>
          <w:sz w:val="24"/>
          <w:szCs w:val="24"/>
          <w:lang w:eastAsia="it-IT" w:bidi="hi-IN"/>
        </w:rPr>
      </w:pPr>
      <w:r>
        <w:rPr>
          <w:rFonts w:eastAsia="NSimSun" w:cs="Times New Roman" w:ascii="Times New Roman" w:hAnsi="Times New Roman"/>
          <w:strike/>
          <w:color w:val="000000"/>
          <w:kern w:val="2"/>
          <w:sz w:val="24"/>
          <w:szCs w:val="24"/>
          <w:lang w:eastAsia="it-IT" w:bidi="hi-IN"/>
        </w:rPr>
      </w:r>
    </w:p>
    <w:p>
      <w:pPr>
        <w:pStyle w:val="Normal"/>
        <w:numPr>
          <w:ilvl w:val="0"/>
          <w:numId w:val="2"/>
        </w:numPr>
        <w:spacing w:lineRule="auto" w:line="276" w:before="0" w:after="0"/>
        <w:ind w:left="1068" w:hanging="36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themeColor="text1"/>
          <w:kern w:val="2"/>
          <w:sz w:val="24"/>
          <w:szCs w:val="24"/>
          <w:lang w:eastAsia="it-IT" w:bidi="hi-IN"/>
        </w:rPr>
        <w:t>Realizzazione congiunta del percorso di coprogettazione</w:t>
      </w:r>
    </w:p>
    <w:p>
      <w:pPr>
        <w:pStyle w:val="Normal"/>
        <w:spacing w:lineRule="auto" w:line="276" w:before="0" w:after="0"/>
        <w:ind w:left="1134" w:hanging="0"/>
        <w:jc w:val="both"/>
        <w:textAlignment w:val="baseline"/>
        <w:rPr>
          <w:rFonts w:ascii="Times New Roman" w:hAnsi="Times New Roman" w:eastAsia="NSimSun" w:cs="Times New Roman"/>
          <w:strike/>
          <w:color w:val="000000"/>
          <w:kern w:val="2"/>
          <w:sz w:val="24"/>
          <w:szCs w:val="24"/>
          <w:lang w:eastAsia="it-IT" w:bidi="hi-IN"/>
        </w:rPr>
      </w:pPr>
      <w:r>
        <w:rPr>
          <w:rFonts w:eastAsia="NSimSun" w:cs="Times New Roman" w:ascii="Times New Roman" w:hAnsi="Times New Roman"/>
          <w:color w:val="000000"/>
          <w:kern w:val="2"/>
          <w:sz w:val="24"/>
          <w:szCs w:val="24"/>
          <w:lang w:eastAsia="it-IT" w:bidi="hi-IN"/>
        </w:rPr>
        <w:t xml:space="preserve">A seguito della sottoscrizione della convenzione, l’ASL 1 Sassari coinvolge gli ETS partner nella realizzazione delle attività di cui all’art. 1. </w:t>
      </w:r>
    </w:p>
    <w:p>
      <w:pPr>
        <w:pStyle w:val="Normal"/>
        <w:spacing w:lineRule="auto" w:line="276" w:before="0" w:after="0"/>
        <w:jc w:val="both"/>
        <w:textAlignment w:val="baseline"/>
        <w:rPr>
          <w:rFonts w:ascii="Cambria Math" w:hAnsi="Cambria Math" w:eastAsia="MS Mincho" w:cs="Arial"/>
          <w:color w:val="000000"/>
          <w:kern w:val="2"/>
          <w:sz w:val="24"/>
          <w:szCs w:val="24"/>
          <w:lang w:bidi="hi-IN"/>
        </w:rPr>
      </w:pPr>
      <w:r>
        <w:rPr>
          <w:rFonts w:eastAsia="MS Mincho" w:cs="Arial" w:ascii="Cambria Math" w:hAnsi="Cambria Math"/>
          <w:color w:val="000000"/>
          <w:kern w:val="2"/>
          <w:sz w:val="24"/>
          <w:szCs w:val="24"/>
          <w:lang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3 – Destinatari dell’avviso e requisiti di ordine generale per la partecipazione</w:t>
      </w:r>
    </w:p>
    <w:p>
      <w:pPr>
        <w:pStyle w:val="Normal"/>
        <w:widowControl w:val="false"/>
        <w:spacing w:lineRule="auto" w:line="240" w:before="58" w:after="0"/>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Il presente avviso è rivolto a Enti del terzo settore (ETS) che svolgano la propria opera in uno o più dei seguenti ambiti di attività di interesse generale di cui </w:t>
      </w:r>
      <w:r>
        <w:rPr>
          <w:rFonts w:eastAsia="MS Mincho" w:cs="Times New Roman" w:ascii="Times New Roman" w:hAnsi="Times New Roman"/>
          <w:b/>
          <w:kern w:val="2"/>
          <w:sz w:val="24"/>
          <w:szCs w:val="24"/>
          <w:lang w:eastAsia="ja-JP" w:bidi="hi-IN"/>
        </w:rPr>
        <w:t>all’art. 5, comma 1, d.lgs. 117/2017:</w:t>
      </w:r>
      <w:r>
        <w:rPr>
          <w:rFonts w:eastAsia="MS Mincho" w:cs="Times New Roman" w:ascii="Times New Roman" w:hAnsi="Times New Roman"/>
          <w:kern w:val="2"/>
          <w:sz w:val="24"/>
          <w:szCs w:val="24"/>
          <w:lang w:eastAsia="ja-JP" w:bidi="hi-IN"/>
        </w:rPr>
        <w:t xml:space="preserve"> </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interventi e servizi sociali ai sensi dell’articolo 1, commi 1 e 2, della legge 8 novembre 2000, n. 328, e successive modificazioni, e interventi, servizi e prestazioni di cui alla legge 5 febbraio 1992, n. 104, e alla legge 22 giugno 2016, n. 112, e successive modificazioni” (art. 5, comma 1, lett. a), d.lgs. 117/2015);</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prestazioni socio-sanitarie di cui al decreto del Presidente del Consiglio dei ministri 14 febbraio 2001, pubblicato nella Gazzetta Ufficiale n. 129 del 6 giugno 2001, e successive modificazioni” (art. 5, comma 1, lett. c), d.lgs. 117/2017);</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cooperazione allo sviluppo, ai sensi della legge 11 agosto 2014, n. 125, e successive modificazioni” (art. 5, comma 1, lett. n), d.lgs. 117/2015);</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accoglienza umanitaria ed integrazione sociale dei migranti” (art. 5, comma 1, lett. r), d.lgs. 117/2015);</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beneficenza, sostegno a distanza, cessione gratuita di alimenti o prodotti di cui alla legge 19 agosto 2016, n. 166, e successive modificazioni, o erogazione di denaro, beni o servizi a sostegno di persone svantaggiate o di attività di interesse generale a norma del presente articolo” (art. 5, comma 1, lett. u), d.lgs. 117/2015);</w:t>
      </w:r>
    </w:p>
    <w:p>
      <w:pPr>
        <w:pStyle w:val="ListParagraph"/>
        <w:numPr>
          <w:ilvl w:val="0"/>
          <w:numId w:val="14"/>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w:t>
      </w:r>
      <w:r>
        <w:rPr>
          <w:rFonts w:eastAsia="MS Mincho" w:cs="Times New Roman" w:ascii="Times New Roman" w:hAnsi="Times New Roman"/>
          <w:kern w:val="2"/>
          <w:sz w:val="24"/>
          <w:szCs w:val="24"/>
          <w:lang w:eastAsia="ja-JP" w:bidi="hi-IN"/>
        </w:rPr>
        <w:t>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(art. 5, comma 1, lett. w), d.lgs. 117/2015).</w:t>
      </w:r>
    </w:p>
    <w:p>
      <w:pPr>
        <w:pStyle w:val="Normal"/>
        <w:tabs>
          <w:tab w:val="clear" w:pos="708"/>
          <w:tab w:val="left" w:pos="284" w:leader="none"/>
        </w:tabs>
        <w:spacing w:lineRule="auto" w:line="276" w:before="0" w:after="120"/>
        <w:ind w:left="28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Sono ammessi a partecipare alla presente procedura di co-progettazione gli Enti del Terzo Settore – ETS di cui all'art. 4 del D.Lgs. n. 117/2017, in </w:t>
      </w:r>
      <w:r>
        <w:rPr>
          <w:rFonts w:eastAsia="MS Mincho" w:cs="Times New Roman" w:ascii="Times New Roman" w:hAnsi="Times New Roman"/>
          <w:b/>
          <w:kern w:val="2"/>
          <w:sz w:val="24"/>
          <w:szCs w:val="24"/>
          <w:lang w:eastAsia="ja-JP" w:bidi="hi-IN"/>
        </w:rPr>
        <w:t>forma singola o in forma associata</w:t>
      </w:r>
      <w:r>
        <w:rPr>
          <w:rFonts w:eastAsia="MS Mincho" w:cs="Times New Roman" w:ascii="Times New Roman" w:hAnsi="Times New Roman"/>
          <w:kern w:val="2"/>
          <w:sz w:val="24"/>
          <w:szCs w:val="24"/>
          <w:lang w:eastAsia="ja-JP" w:bidi="hi-IN"/>
        </w:rPr>
        <w:t xml:space="preserve">, costituita o costituenda, in possesso dei requisiti di cui al presente Avviso. </w:t>
      </w:r>
    </w:p>
    <w:p>
      <w:pPr>
        <w:pStyle w:val="Normal"/>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In caso di partecipazione in forma associata, gli ETS dovranno:</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a) essere costituiti in forma associata prima della stipula dell’eventuale Convenzione, oppure, definire, al momento della presentazione della candidatura, i componenti della rete e le rispettive attività, presentare dichiarazione di impegno dei medesimi componenti a costituirsi, in caso di selezione, in forma associata; </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b) mantenere la stessa compagine anche nella successiva fase realizzativa, fatte salve le ipotesi di legge in ordine alle modifiche soggettive ammesse. </w:t>
      </w:r>
    </w:p>
    <w:p>
      <w:pPr>
        <w:pStyle w:val="Normal"/>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Non è ammessa la partecipazione di un ETS come singolo e come componente in forma associata, a pena di esclusione di tutte le proposte da questi presentate.</w:t>
      </w:r>
    </w:p>
    <w:p>
      <w:pPr>
        <w:pStyle w:val="ListParagraph"/>
        <w:numPr>
          <w:ilvl w:val="0"/>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Il possesso della qualità di ETS si intende soddisfatto a norma dell’art. 101 del D. Lgs. 117/2017 e s.m.i.</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Possono, pertanto, rispondere alla presente manifestazione di interesse le organizzazioni di volontariato, le associazioni di promozione sociale e le fondazioni del Terzo settore, iscritte nel Registro unico nazionale del Terzo settore (RUNTS), singolarmente o in partenariato tra loro.</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Si precisa che nelle more del completamento del processo di popolamento del RUNTS, possono altresì partecipare le organizzazioni di volontariato iscritte nei registri di cui alla legge 11 agosto 1991, n. 266, le associazioni di promozione sociale iscritte nei registri previsti dall’articolo 7 della legge 7 dicembre 2000, n. 383, tuttora coinvolte nel processo di trasmigrazione di cui all’articolo 54 del Codice del Terzo settore, nonché le fondazioni di cui all’art. 10 del decreto legislativo 4 dicembre 1997, n. 460, iscritte nell’apposita anagrafe delle Onlus presso l’Agenzia delle Entrate. </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Il possesso del requisito soggettivo di qualificazione deve perdurare per l’intero periodo di realizzazione dell’intervento. </w:t>
      </w:r>
    </w:p>
    <w:p>
      <w:pPr>
        <w:pStyle w:val="Normal"/>
        <w:tabs>
          <w:tab w:val="clear" w:pos="708"/>
          <w:tab w:val="left" w:pos="284" w:leader="none"/>
        </w:tabs>
        <w:spacing w:lineRule="auto" w:line="276" w:before="0" w:after="120"/>
        <w:ind w:left="644"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La cancellazione del soggetto dai citati registri comporterà l’immediata decadenza dal beneficio e la conseguente revoca del finanziamento in co-progettazione. </w:t>
      </w:r>
    </w:p>
    <w:p>
      <w:pPr>
        <w:pStyle w:val="Normal"/>
        <w:numPr>
          <w:ilvl w:val="0"/>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Lo svolgimento di attività rientranti in quelle di interesse generale elencate al comma 1 deve essere previsto nello statuto dell’ente oppure risultare dettagliatamente dalla descrizione della propria opera allegata alla domanda di partecipazione;</w:t>
      </w:r>
    </w:p>
    <w:p>
      <w:pPr>
        <w:pStyle w:val="Normal"/>
        <w:numPr>
          <w:ilvl w:val="0"/>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Per essere ammessi alla selezione, gli enti di cui al comma 1 devono altresì dimostrare il possesso, mediante dichiarazione da rendersi ai sensi degli artt. 46 e 47 del D.P.R. n. 4452000, dei seguenti requisiti:</w:t>
      </w:r>
    </w:p>
    <w:p>
      <w:pPr>
        <w:pStyle w:val="Normal"/>
        <w:numPr>
          <w:ilvl w:val="1"/>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l’assenza, in capo al legale rappresentante dell’ente e agli amministratori, di motivi di esclusione di cui all’art. 94 del D. Lgs. 36 del 2023 (codice dei contratti pubblici);</w:t>
      </w:r>
    </w:p>
    <w:p>
      <w:pPr>
        <w:pStyle w:val="Normal"/>
        <w:numPr>
          <w:ilvl w:val="1"/>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l’insussistenza, nei confronti del rappresentante legale e dei componenti degli organi di amministrazione delle cause di divieto, di sospensione o di decadenza di cui all’art. 67 del D. Lgs. n. 159/2011 e s.m.i., con allegazione di apposito elenco contenente le loro generalità; </w:t>
      </w:r>
    </w:p>
    <w:p>
      <w:pPr>
        <w:pStyle w:val="Normal"/>
        <w:numPr>
          <w:ilvl w:val="1"/>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regolarità dell’ente in relazione agli obblighi relativi al pagamento dei contributi previdenziali ed assistenziali a favore dei lavoratori;</w:t>
      </w:r>
    </w:p>
    <w:p>
      <w:pPr>
        <w:pStyle w:val="Normal"/>
        <w:numPr>
          <w:ilvl w:val="1"/>
          <w:numId w:val="8"/>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regolarità dell’ente in relazione agli obblighi relativi al pagamento delle imposte, dirette ed indirette, e delle tasse.</w:t>
      </w:r>
    </w:p>
    <w:p>
      <w:pPr>
        <w:pStyle w:val="Normal"/>
        <w:tabs>
          <w:tab w:val="clear" w:pos="708"/>
          <w:tab w:val="left" w:pos="284" w:leader="none"/>
        </w:tabs>
        <w:spacing w:lineRule="auto" w:line="276" w:before="0" w:after="120"/>
        <w:ind w:left="284" w:hanging="0"/>
        <w:contextualSpacing/>
        <w:jc w:val="both"/>
        <w:rPr>
          <w:rFonts w:ascii="Candara" w:hAnsi="Candara" w:eastAsia="MS Mincho" w:cs="Candara"/>
          <w:kern w:val="2"/>
          <w:sz w:val="20"/>
          <w:szCs w:val="20"/>
          <w:lang w:eastAsia="ja-JP" w:bidi="hi-IN"/>
        </w:rPr>
      </w:pPr>
      <w:r>
        <w:rPr>
          <w:rFonts w:eastAsia="MS Mincho" w:cs="Candara" w:ascii="Candara" w:hAnsi="Candara"/>
          <w:kern w:val="2"/>
          <w:sz w:val="20"/>
          <w:szCs w:val="20"/>
          <w:lang w:eastAsia="ja-JP"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4 – Destinatari dell’avviso e requisiti di carattere tecnico-organizzativo per la partecipazione</w:t>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numPr>
          <w:ilvl w:val="0"/>
          <w:numId w:val="13"/>
        </w:numPr>
        <w:tabs>
          <w:tab w:val="clear" w:pos="708"/>
          <w:tab w:val="left" w:pos="284" w:leader="none"/>
        </w:tabs>
        <w:spacing w:lineRule="auto" w:line="276" w:before="0" w:after="12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Il presente avviso è rivolto a Enti del terzo settore (ETS) che siano in possesso, alla data della presentazione della domanda – oltre che dei requisiti di ordine generale di cui precedente art. 3 anche del seguente requisito di capacità tecnico-organizzativa:</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Times New Roman" w:hAnsi="Times New Roman" w:cs="Times New Roman"/>
          <w:color w:val="000000"/>
          <w:sz w:val="24"/>
          <w:szCs w:val="24"/>
        </w:rPr>
      </w:pPr>
      <w:r>
        <w:rPr>
          <w:rFonts w:eastAsia="MS Mincho" w:cs="Times New Roman" w:ascii="Times New Roman" w:hAnsi="Times New Roman"/>
          <w:kern w:val="2"/>
          <w:sz w:val="24"/>
          <w:szCs w:val="24"/>
          <w:lang w:eastAsia="ja-JP" w:bidi="hi-IN"/>
        </w:rPr>
        <w:t xml:space="preserve"> </w:t>
      </w:r>
    </w:p>
    <w:p>
      <w:pPr>
        <w:pStyle w:val="ListParagraph"/>
        <w:numPr>
          <w:ilvl w:val="0"/>
          <w:numId w:val="13"/>
        </w:numPr>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adeguata capacità operativa, almeno triennale, nell’ambito di realizzazione dell’iniziativa proposta. Detta capacità operativa triennale è dimostrabile mediante l’indicazione di collaborazioni, progetti e/o programmi terminati e/o in corso nell’ambito di realizzazione dell’iniziativa proposta, espletate in qualità di capofila o partner, e/o mediante partenariati strutturati nel tempo.</w:t>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5 – Criteri di selezione</w:t>
      </w:r>
    </w:p>
    <w:p>
      <w:pPr>
        <w:pStyle w:val="Normal"/>
        <w:widowControl w:val="false"/>
        <w:spacing w:lineRule="auto" w:line="240" w:before="58" w:after="0"/>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76" w:before="58" w:after="0"/>
        <w:ind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Fermo il possesso dei requisiti di ammissione delle domande di ordine generale (art. 3) e di carattere tecnico-organizzativo (art. 4), ai fini dell’avvio della co-progettazione, gli ETS sono</w:t>
      </w:r>
    </w:p>
    <w:p>
      <w:pPr>
        <w:pStyle w:val="Normal"/>
        <w:widowControl w:val="false"/>
        <w:spacing w:lineRule="auto" w:line="276" w:before="58" w:after="0"/>
        <w:ind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selezionati, secondo la procedura prevista all’art. 7, in base ai seguenti criteri:</w:t>
      </w:r>
    </w:p>
    <w:p>
      <w:pPr>
        <w:pStyle w:val="ListParagraph"/>
        <w:widowControl w:val="false"/>
        <w:numPr>
          <w:ilvl w:val="0"/>
          <w:numId w:val="15"/>
        </w:numPr>
        <w:spacing w:lineRule="auto" w:line="276" w:before="58" w:after="0"/>
        <w:ind w:left="720" w:right="119" w:hanging="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esperienza almeno quinquennale, nella gestione o nel coordinamento delle attività di cui all’art. 2, comma 2, comprovata mediante la descrizione della propria opera allegata alla domanda di partecipazione od ogni altro utile elemento di riscontro (ivi compresi eventuali certificazioni, riconoscimenti o altri elementi che attestino la qualificazione dell’ente);</w:t>
      </w:r>
    </w:p>
    <w:p>
      <w:pPr>
        <w:pStyle w:val="ListParagraph"/>
        <w:widowControl w:val="false"/>
        <w:numPr>
          <w:ilvl w:val="0"/>
          <w:numId w:val="15"/>
        </w:numPr>
        <w:spacing w:lineRule="auto" w:line="276" w:before="58" w:after="0"/>
        <w:ind w:left="720" w:right="119" w:hanging="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capacità operativa dell’ente, dimostrata anche mediante l’indicazione del numero degli associati, dei volontari, dei collaboratori o delle figure professionali impegnati nelle attività, nonché l’indicazione della dimensione territoriale della sua organizzazione (ad esempio numero delle sedi);</w:t>
      </w:r>
    </w:p>
    <w:p>
      <w:pPr>
        <w:pStyle w:val="ListParagraph"/>
        <w:rPr>
          <w:b/>
          <w:b/>
        </w:rPr>
      </w:pPr>
      <w:r>
        <w:rPr>
          <w:rFonts w:eastAsia="Times New Roman" w:cs="Times New Roman" w:ascii="Times New Roman" w:hAnsi="Times New Roman"/>
          <w:sz w:val="24"/>
          <w:szCs w:val="24"/>
        </w:rPr>
        <w:t>esperienza di partecipazione a interventi progettuali di assistenza sanitaria e sociosanitaria a sostegno delle categorie in vulnerabilità socio-economica.</w:t>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6 – Domanda di partecipazione</w:t>
      </w:r>
    </w:p>
    <w:p>
      <w:pPr>
        <w:pStyle w:val="Normal"/>
        <w:widowControl w:val="false"/>
        <w:spacing w:lineRule="auto" w:line="240" w:before="58" w:after="0"/>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16"/>
        </w:numPr>
        <w:rPr>
          <w:lang w:eastAsia="ja-JP" w:bidi="hi-IN"/>
        </w:rPr>
      </w:pPr>
      <w:r>
        <w:rPr>
          <w:rFonts w:eastAsia="MS Mincho" w:cs="Times New Roman" w:ascii="Times New Roman" w:hAnsi="Times New Roman"/>
          <w:kern w:val="2"/>
          <w:sz w:val="24"/>
          <w:szCs w:val="24"/>
          <w:lang w:eastAsia="ja-JP" w:bidi="hi-IN"/>
        </w:rPr>
        <w:t xml:space="preserve">Al fine di partecipare alla selezione, gli ETS sono tenuti a trasmettere la domanda di partecipazione a trasmettere la domanda di partecipazione </w:t>
      </w:r>
      <w:r>
        <w:rPr>
          <w:rFonts w:eastAsia="MS Mincho" w:cs="Times New Roman" w:ascii="Times New Roman" w:hAnsi="Times New Roman"/>
          <w:b/>
          <w:bCs/>
          <w:kern w:val="2"/>
          <w:sz w:val="24"/>
          <w:szCs w:val="24"/>
          <w:lang w:eastAsia="ja-JP" w:bidi="hi-IN"/>
        </w:rPr>
        <w:t>entro</w:t>
      </w:r>
      <w:r>
        <w:rPr>
          <w:rFonts w:eastAsia="MS Mincho" w:cs="Times New Roman" w:ascii="Times New Roman" w:hAnsi="Times New Roman"/>
          <w:b/>
          <w:bCs/>
          <w:kern w:val="2"/>
          <w:sz w:val="24"/>
          <w:szCs w:val="24"/>
          <w:shd w:fill="FFFFFF" w:val="clear"/>
          <w:lang w:eastAsia="ja-JP" w:bidi="hi-IN"/>
        </w:rPr>
        <w:t xml:space="preserve"> dieci </w:t>
      </w:r>
      <w:r>
        <w:rPr>
          <w:rFonts w:eastAsia="MS Mincho" w:cs="Times New Roman" w:ascii="Times New Roman" w:hAnsi="Times New Roman"/>
          <w:b/>
          <w:bCs/>
          <w:kern w:val="2"/>
          <w:sz w:val="24"/>
          <w:szCs w:val="24"/>
          <w:lang w:eastAsia="ja-JP" w:bidi="hi-IN"/>
        </w:rPr>
        <w:t>giorni decorrenti dalla data di pubblicazione del presente avviso.</w:t>
      </w:r>
    </w:p>
    <w:p>
      <w:pPr>
        <w:pStyle w:val="ListParagraph"/>
        <w:numPr>
          <w:ilvl w:val="0"/>
          <w:numId w:val="16"/>
        </w:numPr>
        <w:rPr>
          <w:lang w:eastAsia="ja-JP" w:bidi="hi-IN"/>
        </w:rPr>
      </w:pPr>
      <w:r>
        <w:rPr>
          <w:rFonts w:cs="Times New Roman" w:ascii="Times New Roman" w:hAnsi="Times New Roman"/>
          <w:color w:val="000000"/>
          <w:sz w:val="24"/>
          <w:szCs w:val="24"/>
        </w:rPr>
        <w:t>La domanda andrà redatta secondo le modalità previste e dettagliate nel modello allegato nel presente Avviso</w:t>
      </w:r>
      <w:r>
        <w:rPr>
          <w:rFonts w:eastAsia="MS Mincho" w:cs="Times New Roman" w:ascii="Times New Roman" w:hAnsi="Times New Roman"/>
          <w:kern w:val="2"/>
          <w:sz w:val="24"/>
          <w:szCs w:val="24"/>
          <w:lang w:eastAsia="ja-JP" w:bidi="hi-IN"/>
        </w:rPr>
        <w:t>, dovrà contenere:</w:t>
      </w:r>
    </w:p>
    <w:p>
      <w:pPr>
        <w:pStyle w:val="Normal"/>
        <w:numPr>
          <w:ilvl w:val="1"/>
          <w:numId w:val="4"/>
        </w:numPr>
        <w:spacing w:lineRule="auto" w:line="276" w:before="0" w:after="0"/>
        <w:ind w:left="993" w:hanging="567"/>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 dati identificativi dell’ente (compresi quelli del rappresentante legale) e i relativi contatti;</w:t>
      </w:r>
    </w:p>
    <w:p>
      <w:pPr>
        <w:pStyle w:val="Normal"/>
        <w:numPr>
          <w:ilvl w:val="1"/>
          <w:numId w:val="4"/>
        </w:numPr>
        <w:spacing w:lineRule="auto" w:line="276" w:before="0" w:after="0"/>
        <w:ind w:left="993" w:hanging="567"/>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dichiarazione del possesso dei requisiti di partecipazione di cui agli artt. 3-4 del presente avviso, compreso il possesso della qualifica di ente del Terzo Settore ai sensi del comma 2 dello stesso articolo;</w:t>
      </w:r>
    </w:p>
    <w:p>
      <w:pPr>
        <w:pStyle w:val="Normal"/>
        <w:numPr>
          <w:ilvl w:val="1"/>
          <w:numId w:val="4"/>
        </w:numPr>
        <w:spacing w:lineRule="auto" w:line="276" w:before="0" w:after="0"/>
        <w:ind w:left="993" w:hanging="567"/>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il nominativo e il ruolo all’interno dell’ente della persona che, in caso di esito positivo della selezione, rappresenterà l’ETS nel tavolo di co-progettazione ed eventualmente nelle successive fasi di cui all’art. 2, comma 3, del presente avviso;</w:t>
      </w:r>
    </w:p>
    <w:p>
      <w:pPr>
        <w:pStyle w:val="Normal"/>
        <w:numPr>
          <w:ilvl w:val="1"/>
          <w:numId w:val="4"/>
        </w:numPr>
        <w:spacing w:lineRule="auto" w:line="276" w:before="0" w:after="0"/>
        <w:ind w:left="993" w:hanging="567"/>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i dati e le informazioni funzionali ad evidenziare la qualificazione e l’esperienza dell’ente in base ai criteri di selezione di cui all’art. 5 (a tal fine gli enti sono invitati ad allegare, oltre ad una descrizione della propria opera, ogni documento utile a corredo di quanto dichiarato nella domanda);</w:t>
      </w:r>
    </w:p>
    <w:p>
      <w:pPr>
        <w:pStyle w:val="Normal"/>
        <w:numPr>
          <w:ilvl w:val="1"/>
          <w:numId w:val="4"/>
        </w:numPr>
        <w:spacing w:lineRule="auto" w:line="276" w:before="0" w:after="0"/>
        <w:ind w:left="993" w:hanging="567"/>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l’autorizzazione al trattamento dei dati personali ai fini della presente procedura, in conformità al Regolamento (UE) 2016/679 e al D.lgs. 196/2003 s.m.i.</w:t>
      </w:r>
    </w:p>
    <w:p>
      <w:pPr>
        <w:pStyle w:val="Normal"/>
        <w:spacing w:lineRule="auto" w:line="276" w:before="0" w:after="0"/>
        <w:ind w:left="993" w:hanging="0"/>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ListParagraph"/>
        <w:numPr>
          <w:ilvl w:val="0"/>
          <w:numId w:val="16"/>
        </w:numPr>
        <w:rPr>
          <w:rFonts w:ascii="Times New Roman" w:hAnsi="Times New Roman" w:eastAsia="MS Mincho" w:cs="Times New Roman"/>
          <w:bCs/>
          <w:kern w:val="2"/>
          <w:sz w:val="24"/>
          <w:szCs w:val="24"/>
          <w:lang w:eastAsia="ja-JP" w:bidi="hi-IN"/>
        </w:rPr>
      </w:pPr>
      <w:r>
        <w:rPr>
          <w:rFonts w:cs="Times New Roman" w:ascii="Times New Roman" w:hAnsi="Times New Roman"/>
          <w:color w:val="000000"/>
          <w:sz w:val="24"/>
          <w:szCs w:val="24"/>
        </w:rPr>
        <w:t>Alla</w:t>
      </w:r>
      <w:r>
        <w:rPr>
          <w:rFonts w:eastAsia="MS Mincho" w:cs="Times New Roman" w:ascii="Times New Roman" w:hAnsi="Times New Roman"/>
          <w:bCs/>
          <w:kern w:val="2"/>
          <w:sz w:val="24"/>
          <w:szCs w:val="24"/>
          <w:lang w:eastAsia="ja-JP" w:bidi="hi-IN"/>
        </w:rPr>
        <w:t xml:space="preserve"> domanda dovranno inoltre essere allegati:</w:t>
      </w:r>
    </w:p>
    <w:p>
      <w:pPr>
        <w:pStyle w:val="Normal"/>
        <w:numPr>
          <w:ilvl w:val="0"/>
          <w:numId w:val="9"/>
        </w:numPr>
        <w:spacing w:lineRule="auto" w:line="276" w:before="0" w:after="0"/>
        <w:ind w:left="851"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dichiarazione sostitutiva ai sensi degli artt. 46 e 47 del D.P.R. n. 445/2000 e s.m.i. avente ad oggetto le informazioni riportate nella domanda;</w:t>
      </w:r>
    </w:p>
    <w:p>
      <w:pPr>
        <w:pStyle w:val="Normal"/>
        <w:numPr>
          <w:ilvl w:val="0"/>
          <w:numId w:val="9"/>
        </w:numPr>
        <w:spacing w:lineRule="auto" w:line="276" w:before="0" w:after="0"/>
        <w:ind w:left="851"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l’atto costitutivo dell’ente;</w:t>
      </w:r>
    </w:p>
    <w:p>
      <w:pPr>
        <w:pStyle w:val="Normal"/>
        <w:numPr>
          <w:ilvl w:val="0"/>
          <w:numId w:val="9"/>
        </w:numPr>
        <w:spacing w:lineRule="auto" w:line="276" w:before="0" w:after="0"/>
        <w:ind w:left="851"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lo statuto dell’ente;</w:t>
      </w:r>
    </w:p>
    <w:p>
      <w:pPr>
        <w:pStyle w:val="Normal"/>
        <w:numPr>
          <w:ilvl w:val="0"/>
          <w:numId w:val="9"/>
        </w:numPr>
        <w:spacing w:lineRule="auto" w:line="276" w:before="0" w:after="0"/>
        <w:ind w:left="851"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l’eventuale ulteriore documentazione a supporto dei dati e delle dichiarazioni rese ai fini della qualificazione ed esperienza dell’ente;</w:t>
      </w:r>
    </w:p>
    <w:p>
      <w:pPr>
        <w:pStyle w:val="Normal"/>
        <w:numPr>
          <w:ilvl w:val="0"/>
          <w:numId w:val="9"/>
        </w:numPr>
        <w:spacing w:lineRule="auto" w:line="276" w:before="0" w:after="0"/>
        <w:ind w:left="851"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copia di un documento di identità in corso di validità del rappresentante legale dell’ente</w:t>
      </w:r>
    </w:p>
    <w:p>
      <w:pPr>
        <w:pStyle w:val="Normal"/>
        <w:widowControl w:val="false"/>
        <w:tabs>
          <w:tab w:val="clear" w:pos="708"/>
          <w:tab w:val="left" w:pos="284" w:leader="none"/>
        </w:tabs>
        <w:spacing w:lineRule="auto" w:line="276" w:before="0" w:after="0"/>
        <w:ind w:left="851" w:hanging="0"/>
        <w:rPr>
          <w:rFonts w:ascii="Times New Roman" w:hAnsi="Times New Roman" w:eastAsia="Times New Roman" w:cs="Times New Roman"/>
          <w:szCs w:val="24"/>
        </w:rPr>
      </w:pPr>
      <w:r>
        <w:rPr>
          <w:rFonts w:eastAsia="Times New Roman" w:cs="Times New Roman" w:ascii="Times New Roman" w:hAnsi="Times New Roman"/>
          <w:szCs w:val="24"/>
        </w:rPr>
      </w:r>
    </w:p>
    <w:p>
      <w:pPr>
        <w:pStyle w:val="ListParagraph"/>
        <w:numPr>
          <w:ilvl w:val="0"/>
          <w:numId w:val="16"/>
        </w:numPr>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ASL 1 Sassari  si riserva la facoltà di richiedere agli enti candidati eventuali integrazioni della documentazione trasmessa.</w:t>
      </w:r>
    </w:p>
    <w:p>
      <w:pPr>
        <w:pStyle w:val="ListParagraph"/>
        <w:numPr>
          <w:ilvl w:val="0"/>
          <w:numId w:val="16"/>
        </w:numPr>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La domanda di partecipazione potrà essere presentata, esclusivamente, mediante invio tramite posta elettronica certificata dell’ente o del suo rappresentante legale, all’indirizzo </w:t>
      </w:r>
      <w:hyperlink r:id="rId3">
        <w:r>
          <w:rPr>
            <w:rStyle w:val="CollegamentoInternet"/>
            <w:rFonts w:eastAsia="MS Mincho" w:cs="Times New Roman" w:ascii="Times New Roman" w:hAnsi="Times New Roman"/>
            <w:b/>
            <w:bCs/>
            <w:color w:val="000000"/>
            <w:kern w:val="2"/>
            <w:sz w:val="24"/>
            <w:szCs w:val="24"/>
            <w:shd w:fill="FFFFFF" w:val="clear"/>
            <w:lang w:eastAsia="ja-JP" w:bidi="hi-IN"/>
          </w:rPr>
          <w:t>protocollo@pec.aslsassari.it</w:t>
        </w:r>
      </w:hyperlink>
      <w:r>
        <w:rPr>
          <w:rFonts w:eastAsia="MS Mincho" w:cs="Times New Roman" w:ascii="Times New Roman" w:hAnsi="Times New Roman"/>
          <w:kern w:val="2"/>
          <w:sz w:val="24"/>
          <w:szCs w:val="24"/>
          <w:shd w:fill="FFFFFF" w:val="clear"/>
          <w:lang w:eastAsia="ja-JP" w:bidi="hi-IN"/>
        </w:rPr>
        <w:t>,</w:t>
      </w:r>
      <w:r>
        <w:rPr>
          <w:rFonts w:eastAsia="MS Mincho" w:cs="Times New Roman" w:ascii="Times New Roman" w:hAnsi="Times New Roman"/>
          <w:kern w:val="2"/>
          <w:sz w:val="24"/>
          <w:szCs w:val="24"/>
          <w:lang w:eastAsia="ja-JP" w:bidi="hi-IN"/>
        </w:rPr>
        <w:t xml:space="preserve"> inserendo nell’oggetto, a pena esclusione, la seguente dicitura: </w:t>
      </w:r>
      <w:r>
        <w:rPr>
          <w:rFonts w:cs="Times New Roman" w:ascii="Times New Roman" w:hAnsi="Times New Roman"/>
          <w:b/>
          <w:bCs/>
          <w:i/>
          <w:iCs/>
          <w:color w:val="000000"/>
          <w:sz w:val="24"/>
          <w:szCs w:val="24"/>
        </w:rPr>
        <w:t>Domanda di partecipazione alla co-progettazione –PN Equita’ nella Salute 2021-2027. Area di intervento contrastare la povertà Sanitaria</w:t>
      </w:r>
      <w:r>
        <w:rPr>
          <w:rFonts w:eastAsia="MS Mincho" w:cs="Times New Roman" w:ascii="Times New Roman" w:hAnsi="Times New Roman"/>
          <w:kern w:val="2"/>
          <w:sz w:val="24"/>
          <w:szCs w:val="24"/>
          <w:lang w:eastAsia="ja-JP" w:bidi="hi-IN"/>
        </w:rPr>
        <w:t xml:space="preserve">. </w:t>
      </w:r>
    </w:p>
    <w:p>
      <w:pPr>
        <w:pStyle w:val="Normal"/>
        <w:ind w:left="360" w:hanging="0"/>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RUP: </w:t>
      </w:r>
      <w:r>
        <w:rPr>
          <w:rFonts w:eastAsia="MS Mincho" w:cs="Times New Roman" w:ascii="Times New Roman" w:hAnsi="Times New Roman"/>
          <w:b/>
          <w:bCs/>
          <w:kern w:val="2"/>
          <w:sz w:val="24"/>
          <w:szCs w:val="24"/>
          <w:shd w:fill="FFFFFF" w:val="clear"/>
          <w:lang w:eastAsia="ja-JP" w:bidi="hi-IN"/>
        </w:rPr>
        <w:t>Dott.ssa Angela Cadoni IFO Area Assistenza Sociale</w:t>
      </w:r>
    </w:p>
    <w:p>
      <w:pPr>
        <w:pStyle w:val="Normal"/>
        <w:ind w:left="360" w:hanging="0"/>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Non saranno ritenute valide le domande provenienti da indirizzi di posta elettronica semplice/ordinaria o da indirizzi PEC appartenenti ad altri soggetti.</w:t>
      </w:r>
    </w:p>
    <w:p>
      <w:pPr>
        <w:pStyle w:val="Normal"/>
        <w:ind w:left="360" w:hanging="0"/>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7 – Procedura di selezione e ammissione al tavolo di co-progettazione</w:t>
      </w:r>
    </w:p>
    <w:p>
      <w:pPr>
        <w:pStyle w:val="Normal"/>
        <w:widowControl w:val="false"/>
        <w:spacing w:lineRule="auto" w:line="240" w:before="58" w:after="0"/>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5"/>
        </w:numPr>
        <w:spacing w:lineRule="auto" w:line="276"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La selezione degli ETS ammessi a partecipare al tavolo di co-progettazione di cui all’art. 9 del presente avviso avviene a opera di una </w:t>
      </w:r>
      <w:r>
        <w:rPr>
          <w:rFonts w:eastAsia="MS Mincho" w:cs="Times New Roman" w:ascii="Times New Roman" w:hAnsi="Times New Roman"/>
          <w:color w:val="000000" w:themeColor="text1"/>
          <w:kern w:val="2"/>
          <w:sz w:val="24"/>
          <w:szCs w:val="24"/>
          <w:lang w:eastAsia="ja-JP" w:bidi="hi-IN"/>
        </w:rPr>
        <w:t xml:space="preserve">Commissione </w:t>
      </w:r>
      <w:r>
        <w:rPr>
          <w:rFonts w:eastAsia="MS Mincho" w:cs="Times New Roman" w:ascii="Times New Roman" w:hAnsi="Times New Roman"/>
          <w:kern w:val="2"/>
          <w:sz w:val="24"/>
          <w:szCs w:val="24"/>
          <w:lang w:eastAsia="ja-JP" w:bidi="hi-IN"/>
        </w:rPr>
        <w:t>nominata dal Direttore Generale della ASL 1 Sassari.</w:t>
      </w:r>
    </w:p>
    <w:p>
      <w:pPr>
        <w:pStyle w:val="Normal"/>
        <w:spacing w:lineRule="auto" w:line="276" w:before="0" w:after="0"/>
        <w:ind w:left="502"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Normal"/>
        <w:numPr>
          <w:ilvl w:val="0"/>
          <w:numId w:val="5"/>
        </w:numPr>
        <w:spacing w:lineRule="auto" w:line="276"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 Commissione procede, preliminarmente, all’ammissione degli enti candidati in possesso dei requisiti di cui agli artt. 3-4 del presente avviso. Saranno esclusi dalla procedura i soggetti che risultino privi dei prescritti requisiti di partecipazione.</w:t>
      </w:r>
    </w:p>
    <w:p>
      <w:pPr>
        <w:pStyle w:val="Normal"/>
        <w:spacing w:lineRule="auto" w:line="240" w:before="0" w:after="0"/>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Normal"/>
        <w:numPr>
          <w:ilvl w:val="0"/>
          <w:numId w:val="5"/>
        </w:numPr>
        <w:spacing w:lineRule="auto" w:line="276"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Con riferimento agli ETS ammessi, la Commissione procede alla selezione in base ai criteri di cui all’art. 5. Per ogni criterio di cui all’art. 5, la Commissione esprime un giudizio discrezionale di “idoneità” / “non idoneità”, </w:t>
      </w:r>
      <w:r>
        <w:rPr>
          <w:rFonts w:eastAsia="MS Mincho" w:cs="Times New Roman" w:ascii="Times New Roman" w:hAnsi="Times New Roman"/>
          <w:color w:val="000000" w:themeColor="text1"/>
          <w:kern w:val="2"/>
          <w:sz w:val="24"/>
          <w:szCs w:val="24"/>
          <w:lang w:eastAsia="ja-JP" w:bidi="hi-IN"/>
        </w:rPr>
        <w:t>circa la rispondenza del soggetto ai criteri prescritti.</w:t>
      </w:r>
    </w:p>
    <w:p>
      <w:pPr>
        <w:pStyle w:val="Normal"/>
        <w:spacing w:lineRule="auto" w:line="240" w:before="0" w:after="0"/>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Normal"/>
        <w:numPr>
          <w:ilvl w:val="0"/>
          <w:numId w:val="5"/>
        </w:numPr>
        <w:spacing w:lineRule="auto" w:line="276"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Per poter essere selezionati, gli ETS ammessi devono aver ottenuto un giudizio di “idoneità” con riferimento a ciascuno dei criteri di cui all’art. 5.</w:t>
      </w:r>
    </w:p>
    <w:p>
      <w:pPr>
        <w:pStyle w:val="Normal"/>
        <w:spacing w:lineRule="auto" w:line="240" w:before="0" w:after="0"/>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Normal"/>
        <w:numPr>
          <w:ilvl w:val="0"/>
          <w:numId w:val="5"/>
        </w:numPr>
        <w:spacing w:lineRule="auto" w:line="276"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L’ammissione al tavolo di co-progettazione non determina un diritto dei soggetti ad esso partecipanti alla successiva sottoscrizione con l’Istituto della convenzione di cui all’art. 10 o alla partecipazione alle attività successive. </w:t>
      </w:r>
    </w:p>
    <w:p>
      <w:pPr>
        <w:pStyle w:val="Normal"/>
        <w:spacing w:lineRule="auto" w:line="276" w:before="0" w:after="0"/>
        <w:jc w:val="both"/>
        <w:textAlignment w:val="baseline"/>
        <w:rPr>
          <w:rFonts w:ascii="Cambria Math" w:hAnsi="Cambria Math" w:eastAsia="MS Mincho" w:cs="Arial"/>
          <w:color w:val="000000"/>
          <w:kern w:val="2"/>
          <w:sz w:val="24"/>
          <w:szCs w:val="24"/>
          <w:lang w:bidi="hi-IN"/>
        </w:rPr>
      </w:pPr>
      <w:r>
        <w:rPr>
          <w:rFonts w:eastAsia="MS Mincho" w:cs="Arial" w:ascii="Cambria Math" w:hAnsi="Cambria Math"/>
          <w:color w:val="000000"/>
          <w:kern w:val="2"/>
          <w:sz w:val="24"/>
          <w:szCs w:val="24"/>
          <w:lang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Articolo 8 – Tempistica </w:t>
      </w:r>
    </w:p>
    <w:p>
      <w:pPr>
        <w:pStyle w:val="Normal"/>
        <w:widowControl w:val="false"/>
        <w:spacing w:lineRule="auto" w:line="240" w:before="58" w:after="0"/>
        <w:ind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0"/>
        </w:numPr>
        <w:spacing w:lineRule="auto" w:line="276" w:before="58" w:after="0"/>
        <w:ind w:left="1080"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0"/>
        </w:numPr>
        <w:spacing w:lineRule="auto" w:line="276" w:before="58" w:after="0"/>
        <w:ind w:left="1080"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cura della scrivente Azienda sarà reso noto: </w:t>
      </w:r>
    </w:p>
    <w:p>
      <w:pPr>
        <w:pStyle w:val="Normal"/>
        <w:widowControl w:val="false"/>
        <w:spacing w:lineRule="auto" w:line="276" w:before="58" w:after="0"/>
        <w:ind w:left="720" w:right="119" w:hanging="0"/>
        <w:jc w:val="both"/>
        <w:rPr>
          <w:rFonts w:ascii="Times New Roman" w:hAnsi="Times New Roman" w:cs="Times New Roman"/>
          <w:color w:val="000000"/>
          <w:sz w:val="24"/>
          <w:szCs w:val="24"/>
        </w:rPr>
      </w:pPr>
      <w:r>
        <w:rPr>
          <w:rFonts w:eastAsia="Times New Roman" w:cs="Times New Roman" w:ascii="Times New Roman" w:hAnsi="Times New Roman"/>
          <w:sz w:val="24"/>
          <w:szCs w:val="24"/>
        </w:rPr>
        <w:t>- il calendario relativo a</w:t>
      </w:r>
      <w:r>
        <w:rPr>
          <w:rFonts w:cs="Times New Roman" w:ascii="Times New Roman" w:hAnsi="Times New Roman"/>
          <w:color w:val="000000"/>
          <w:sz w:val="24"/>
          <w:szCs w:val="24"/>
        </w:rPr>
        <w:t>lla seduta di insediamento</w:t>
      </w:r>
      <w:r>
        <w:rPr>
          <w:rFonts w:eastAsia="Times New Roman" w:cs="Times New Roman" w:ascii="Times New Roman" w:hAnsi="Times New Roman"/>
          <w:sz w:val="24"/>
          <w:szCs w:val="24"/>
        </w:rPr>
        <w:t xml:space="preserve"> </w:t>
      </w:r>
      <w:r>
        <w:rPr>
          <w:rFonts w:cs="Times New Roman" w:ascii="Times New Roman" w:hAnsi="Times New Roman"/>
          <w:color w:val="000000"/>
          <w:sz w:val="24"/>
          <w:szCs w:val="24"/>
        </w:rPr>
        <w:t>del tavolo di co-progettazione;</w:t>
      </w:r>
    </w:p>
    <w:p>
      <w:pPr>
        <w:pStyle w:val="Normal"/>
        <w:widowControl w:val="false"/>
        <w:spacing w:lineRule="auto" w:line="276" w:before="58" w:after="0"/>
        <w:ind w:left="720" w:right="119" w:hanging="0"/>
        <w:jc w:val="both"/>
        <w:rPr>
          <w:rFonts w:ascii="Times New Roman" w:hAnsi="Times New Roman" w:eastAsia="Times New Roman" w:cs="Times New Roman"/>
          <w:sz w:val="24"/>
          <w:szCs w:val="24"/>
        </w:rPr>
      </w:pPr>
      <w:r>
        <w:rPr>
          <w:rFonts w:cs="Times New Roman" w:ascii="Times New Roman" w:hAnsi="Times New Roman"/>
          <w:color w:val="000000"/>
          <w:sz w:val="24"/>
          <w:szCs w:val="24"/>
        </w:rPr>
        <w:t>- della data di sottoscrizione dell’accordo convenzionale, ai sensi di</w:t>
      </w:r>
      <w:r>
        <w:rPr>
          <w:rFonts w:eastAsia="Times New Roman" w:cs="Times New Roman" w:ascii="Times New Roman" w:hAnsi="Times New Roman"/>
          <w:sz w:val="24"/>
          <w:szCs w:val="24"/>
        </w:rPr>
        <w:t xml:space="preserve"> </w:t>
      </w:r>
      <w:r>
        <w:rPr>
          <w:rFonts w:cs="Times New Roman" w:ascii="Times New Roman" w:hAnsi="Times New Roman"/>
          <w:color w:val="000000"/>
          <w:sz w:val="24"/>
          <w:szCs w:val="24"/>
        </w:rPr>
        <w:t xml:space="preserve">legge; </w:t>
      </w:r>
    </w:p>
    <w:p>
      <w:pPr>
        <w:pStyle w:val="Normal"/>
        <w:widowControl w:val="false"/>
        <w:spacing w:lineRule="auto" w:line="276" w:before="58" w:after="0"/>
        <w:ind w:left="851" w:right="119" w:hanging="142"/>
        <w:jc w:val="both"/>
        <w:rPr>
          <w:rFonts w:ascii="Times New Roman" w:hAnsi="Times New Roman" w:eastAsia="Times New Roman" w:cs="Times New Roman"/>
          <w:sz w:val="24"/>
          <w:szCs w:val="24"/>
        </w:rPr>
      </w:pPr>
      <w:r>
        <w:rPr>
          <w:rFonts w:cs="Times New Roman" w:ascii="Times New Roman" w:hAnsi="Times New Roman"/>
          <w:color w:val="000000"/>
          <w:sz w:val="24"/>
          <w:szCs w:val="24"/>
        </w:rPr>
        <w:t xml:space="preserve">- delle attività da svolgersi in prosieguo. </w:t>
      </w:r>
    </w:p>
    <w:p>
      <w:pPr>
        <w:pStyle w:val="Normal"/>
        <w:widowControl w:val="false"/>
        <w:spacing w:lineRule="auto" w:line="276" w:before="58" w:after="0"/>
        <w:ind w:left="110"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76" w:before="58" w:after="0"/>
        <w:ind w:right="119"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Articolo 9 – Il tavolo di co-progettazione</w:t>
      </w:r>
    </w:p>
    <w:p>
      <w:pPr>
        <w:pStyle w:val="Normal"/>
        <w:widowControl w:val="false"/>
        <w:spacing w:lineRule="auto" w:line="276" w:before="58" w:after="0"/>
        <w:ind w:left="709" w:right="119" w:hanging="42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Il tavolo di co-progettazione sarà composto dalla commissione di cui all’art. 7 e dal rappresentante legale dell’ETS selezionato, in forma singola o associata, o da suo delegato, con il supporto dei propri referenti professionali.</w:t>
      </w:r>
    </w:p>
    <w:p>
      <w:pPr>
        <w:pStyle w:val="Normal"/>
        <w:widowControl w:val="false"/>
        <w:spacing w:lineRule="auto" w:line="276" w:before="58" w:after="0"/>
        <w:ind w:left="709" w:right="119" w:hanging="42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L’Azienda convocherà il tavolo di co-progettazione al quale parteciperanno i soggetti sopra individuati, con la raccomandazione del Gruppo di lavoro 2 del Comitato di Sorveglianza del PNES, di coinvolgere anche le parti sociali.</w:t>
      </w:r>
    </w:p>
    <w:p>
      <w:pPr>
        <w:pStyle w:val="Normal"/>
        <w:widowControl w:val="false"/>
        <w:spacing w:lineRule="auto" w:line="276" w:before="58" w:after="0"/>
        <w:ind w:left="709" w:right="119" w:hanging="42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Di ogni riunione del tavolo verrà redatto apposito verbale.</w:t>
      </w:r>
    </w:p>
    <w:p>
      <w:pPr>
        <w:pStyle w:val="Normal"/>
        <w:widowControl w:val="false"/>
        <w:spacing w:lineRule="auto" w:line="276" w:before="58" w:after="0"/>
        <w:ind w:left="709" w:right="119" w:hanging="42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Anche successivamente alla chiusura dei lavori, su richiesta dell’Azienda o degli ETS, il tavolo potrà essere convocato al fine di monitorare il funzionamento del modello di collaborazione e l’attuazione della convenzione, nonché di formulare eventuali proposte di aggiornamento e modifica della convenzione stessa alla luce dei risultati di tale monitoraggio. In tal caso, il tavolo opera con le medesime modalità previste nei commi 1 e 2 del presente articolo.</w:t>
      </w:r>
    </w:p>
    <w:p>
      <w:pPr>
        <w:pStyle w:val="Normal"/>
        <w:widowControl w:val="false"/>
        <w:spacing w:lineRule="auto" w:line="276" w:before="58" w:after="0"/>
        <w:ind w:left="110"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76" w:before="0" w:after="0"/>
        <w:jc w:val="both"/>
        <w:textAlignment w:val="baseline"/>
        <w:rPr>
          <w:rFonts w:ascii="Times New Roman" w:hAnsi="Times New Roman" w:eastAsia="NSimSun" w:cs="Times New Roman"/>
          <w:b/>
          <w:b/>
          <w:bCs/>
          <w:color w:val="000000"/>
          <w:kern w:val="2"/>
          <w:sz w:val="24"/>
          <w:szCs w:val="24"/>
          <w:lang w:eastAsia="it-IT" w:bidi="hi-IN"/>
        </w:rPr>
      </w:pPr>
      <w:r>
        <w:rPr>
          <w:rFonts w:eastAsia="NSimSun" w:cs="Times New Roman" w:ascii="Times New Roman" w:hAnsi="Times New Roman"/>
          <w:b/>
          <w:bCs/>
          <w:color w:val="000000"/>
          <w:kern w:val="2"/>
          <w:sz w:val="24"/>
          <w:szCs w:val="24"/>
          <w:lang w:eastAsia="it-IT" w:bidi="hi-IN"/>
        </w:rPr>
        <w:t>Articolo 10 - Sottoscrizione della convenzione</w:t>
      </w:r>
    </w:p>
    <w:p>
      <w:pPr>
        <w:pStyle w:val="Normal"/>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r>
    </w:p>
    <w:p>
      <w:pPr>
        <w:pStyle w:val="Normal"/>
        <w:numPr>
          <w:ilvl w:val="0"/>
          <w:numId w:val="7"/>
        </w:numPr>
        <w:spacing w:lineRule="auto" w:line="276" w:before="0" w:after="0"/>
        <w:jc w:val="both"/>
        <w:textAlignment w:val="baseline"/>
        <w:rPr>
          <w:rFonts w:ascii="Times New Roman" w:hAnsi="Times New Roman" w:eastAsia="NSimSun" w:cs="Times New Roman"/>
          <w:color w:val="000000" w:themeColor="text1"/>
          <w:kern w:val="2"/>
          <w:sz w:val="24"/>
          <w:szCs w:val="24"/>
          <w:lang w:bidi="hi-IN"/>
        </w:rPr>
      </w:pPr>
      <w:r>
        <w:rPr>
          <w:rFonts w:eastAsia="NSimSun" w:cs="Times New Roman" w:ascii="Times New Roman" w:hAnsi="Times New Roman"/>
          <w:color w:val="000000"/>
          <w:kern w:val="2"/>
          <w:sz w:val="24"/>
          <w:szCs w:val="24"/>
          <w:lang w:bidi="hi-IN"/>
        </w:rPr>
        <w:t xml:space="preserve">La sottoscrizione della convenzione (o delle convenzioni) fra la ASL 1 Sassari e il co-gestore, segue la conclusione del tavolo tecnico (art. 9 comma 2) del presente Bando. </w:t>
      </w:r>
    </w:p>
    <w:p>
      <w:pPr>
        <w:pStyle w:val="Normal"/>
        <w:numPr>
          <w:ilvl w:val="0"/>
          <w:numId w:val="7"/>
        </w:numPr>
        <w:spacing w:lineRule="auto" w:line="276" w:before="0" w:after="0"/>
        <w:jc w:val="both"/>
        <w:textAlignment w:val="baseline"/>
        <w:rPr>
          <w:rFonts w:ascii="Times New Roman" w:hAnsi="Times New Roman" w:eastAsia="NSimSun" w:cs="Times New Roman"/>
          <w:color w:val="000000"/>
          <w:kern w:val="2"/>
          <w:sz w:val="24"/>
          <w:szCs w:val="24"/>
          <w:lang w:bidi="hi-IN"/>
        </w:rPr>
      </w:pPr>
      <w:r>
        <w:rPr>
          <w:rFonts w:eastAsia="NSimSun" w:cs="Times New Roman" w:ascii="Times New Roman" w:hAnsi="Times New Roman"/>
          <w:color w:val="000000" w:themeColor="text1"/>
          <w:kern w:val="2"/>
          <w:sz w:val="24"/>
          <w:szCs w:val="24"/>
          <w:lang w:bidi="hi-IN"/>
        </w:rPr>
        <w:t>La convenzione</w:t>
      </w:r>
      <w:r>
        <w:rPr>
          <w:rFonts w:eastAsia="NSimSun" w:cs="Times New Roman" w:ascii="Times New Roman" w:hAnsi="Times New Roman"/>
          <w:color w:val="000000"/>
          <w:kern w:val="2"/>
          <w:sz w:val="24"/>
          <w:szCs w:val="24"/>
          <w:lang w:bidi="hi-IN"/>
        </w:rPr>
        <w:t xml:space="preserve"> dovrà necessariamente contenere i seguenti elementi:</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oggetto della convenzione e referenti per l’attuazione;</w:t>
      </w:r>
    </w:p>
    <w:p>
      <w:pPr>
        <w:pStyle w:val="Normal"/>
        <w:numPr>
          <w:ilvl w:val="1"/>
          <w:numId w:val="17"/>
        </w:numPr>
        <w:spacing w:lineRule="auto" w:line="276" w:before="0" w:after="0"/>
        <w:jc w:val="both"/>
        <w:textAlignment w:val="baseline"/>
        <w:rPr>
          <w:shd w:fill="auto" w:val="clear"/>
        </w:rPr>
      </w:pPr>
      <w:r>
        <w:rPr>
          <w:rFonts w:eastAsia="NSimSun" w:cs="Times New Roman" w:ascii="Times New Roman" w:hAnsi="Times New Roman"/>
          <w:kern w:val="2"/>
          <w:sz w:val="24"/>
          <w:szCs w:val="24"/>
          <w:shd w:fill="auto" w:val="clear"/>
          <w:lang w:bidi="hi-IN"/>
        </w:rPr>
        <w:t>criteri e procedure per il coinvolgimento degli ETS, da parte dell’ASL 1 Sassari, nella realizzazione dei singoli interventi socio-sanitari a sostegno della popolazione target.</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modalità di collaborazione alla progettazione esecutiva e alla gestione operativa dei singoli interventi socio-sanitari a sostegno dei soggetti in vulnerabilità socio-economica;</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color w:val="000000"/>
          <w:kern w:val="2"/>
          <w:sz w:val="24"/>
          <w:szCs w:val="24"/>
          <w:lang w:bidi="hi-IN"/>
        </w:rPr>
        <w:t>obblighi dell’Ente del Terzo Settore e obblighi della ASL 1 Sassari;</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color w:val="000000"/>
          <w:kern w:val="2"/>
          <w:sz w:val="24"/>
          <w:szCs w:val="24"/>
          <w:lang w:bidi="hi-IN"/>
        </w:rPr>
        <w:t>obblighi comuni delle parti;</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risorse finanziarie disponibili, costi ammessi al rimborso, modalità di rendicontazione (anche mediante rinvio ad apposite linee guida facenti parte integrante della convenzione);</w:t>
      </w:r>
    </w:p>
    <w:p>
      <w:pPr>
        <w:pStyle w:val="Normal"/>
        <w:numPr>
          <w:ilvl w:val="1"/>
          <w:numId w:val="17"/>
        </w:numPr>
        <w:spacing w:lineRule="auto" w:line="276" w:before="0" w:after="0"/>
        <w:jc w:val="both"/>
        <w:textAlignment w:val="baseline"/>
        <w:rPr>
          <w:rFonts w:ascii="Times New Roman" w:hAnsi="Times New Roman" w:cs="Times New Roman"/>
          <w:color w:val="000000"/>
          <w:sz w:val="24"/>
          <w:szCs w:val="24"/>
        </w:rPr>
      </w:pPr>
      <w:r>
        <w:rPr>
          <w:rFonts w:eastAsia="NSimSun" w:cs="Times New Roman" w:ascii="Times New Roman" w:hAnsi="Times New Roman"/>
          <w:kern w:val="2"/>
          <w:sz w:val="24"/>
          <w:szCs w:val="24"/>
          <w:lang w:bidi="hi-IN"/>
        </w:rPr>
        <w:t>durata</w:t>
      </w:r>
      <w:r>
        <w:rPr>
          <w:rFonts w:eastAsia="NSimSun" w:cs="Times New Roman" w:ascii="Times New Roman" w:hAnsi="Times New Roman"/>
          <w:color w:val="000000"/>
          <w:kern w:val="2"/>
          <w:sz w:val="24"/>
          <w:szCs w:val="24"/>
          <w:lang w:bidi="hi-IN"/>
        </w:rPr>
        <w:t xml:space="preserve">, </w:t>
      </w:r>
      <w:r>
        <w:rPr>
          <w:rFonts w:cs="Times New Roman" w:ascii="Times New Roman" w:hAnsi="Times New Roman"/>
          <w:color w:val="000000"/>
          <w:sz w:val="24"/>
          <w:szCs w:val="24"/>
        </w:rPr>
        <w:t xml:space="preserve">che dovrà coincidere con il termine ultimo del progetto, stabilito dall’Organismo Intermedio </w:t>
      </w:r>
      <w:r>
        <w:rPr>
          <w:rFonts w:cs="Times New Roman" w:ascii="Times New Roman" w:hAnsi="Times New Roman"/>
          <w:b/>
          <w:bCs/>
          <w:color w:val="000000"/>
          <w:sz w:val="24"/>
          <w:szCs w:val="24"/>
        </w:rPr>
        <w:t>alla data del</w:t>
      </w:r>
      <w:r>
        <w:rPr>
          <w:rFonts w:cs="Times New Roman" w:ascii="Times New Roman" w:hAnsi="Times New Roman"/>
          <w:b/>
          <w:bCs/>
          <w:color w:val="000000"/>
          <w:sz w:val="24"/>
          <w:szCs w:val="24"/>
          <w:shd w:fill="FFFFFF" w:val="clear"/>
        </w:rPr>
        <w:t xml:space="preserve"> 31/12/2029</w:t>
      </w:r>
      <w:r>
        <w:rPr>
          <w:rFonts w:eastAsia="NSimSun" w:cs="Times New Roman" w:ascii="Times New Roman" w:hAnsi="Times New Roman"/>
          <w:color w:val="000000"/>
          <w:kern w:val="2"/>
          <w:sz w:val="24"/>
          <w:szCs w:val="24"/>
          <w:shd w:fill="FFFFFF" w:val="clear"/>
          <w:lang w:bidi="hi-IN"/>
        </w:rPr>
        <w:t>;</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color w:val="000000"/>
          <w:kern w:val="2"/>
          <w:sz w:val="24"/>
          <w:szCs w:val="24"/>
          <w:lang w:bidi="hi-IN"/>
        </w:rPr>
        <w:t>fiscalità;</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tracciabilità dei flussi finanziari;</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 xml:space="preserve">trattamento dei dati personali; </w:t>
      </w:r>
    </w:p>
    <w:p>
      <w:pPr>
        <w:pStyle w:val="Normal"/>
        <w:numPr>
          <w:ilvl w:val="1"/>
          <w:numId w:val="17"/>
        </w:numPr>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 xml:space="preserve">i casi di inadempimento e le relative sanzioni, le cause di risoluzione e le modalità di definizione delle controversie. </w:t>
      </w:r>
    </w:p>
    <w:p>
      <w:pPr>
        <w:pStyle w:val="Normal"/>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r>
    </w:p>
    <w:p>
      <w:pPr>
        <w:pStyle w:val="Normal"/>
        <w:spacing w:lineRule="auto" w:line="276" w:before="0" w:after="0"/>
        <w:jc w:val="both"/>
        <w:textAlignment w:val="baseline"/>
        <w:rPr>
          <w:rFonts w:ascii="Times New Roman" w:hAnsi="Times New Roman" w:eastAsia="NSimSun" w:cs="Times New Roman"/>
          <w:b/>
          <w:b/>
          <w:bCs/>
          <w:kern w:val="2"/>
          <w:sz w:val="24"/>
          <w:szCs w:val="24"/>
          <w:lang w:bidi="hi-IN"/>
        </w:rPr>
      </w:pPr>
      <w:r>
        <w:rPr>
          <w:rFonts w:eastAsia="NSimSun" w:cs="Times New Roman" w:ascii="Times New Roman" w:hAnsi="Times New Roman"/>
          <w:b/>
          <w:bCs/>
          <w:kern w:val="2"/>
          <w:sz w:val="24"/>
          <w:szCs w:val="24"/>
          <w:lang w:bidi="hi-IN"/>
        </w:rPr>
        <w:t>Articolo 11 – Controllo e monitoraggio</w:t>
      </w:r>
    </w:p>
    <w:p>
      <w:pPr>
        <w:pStyle w:val="Normal"/>
        <w:spacing w:lineRule="auto" w:line="276" w:before="0" w:after="0"/>
        <w:jc w:val="both"/>
        <w:textAlignment w:val="baseline"/>
        <w:rPr>
          <w:rFonts w:ascii="Times New Roman" w:hAnsi="Times New Roman" w:eastAsia="NSimSun" w:cs="Times New Roman"/>
          <w:b/>
          <w:b/>
          <w:bCs/>
          <w:kern w:val="2"/>
          <w:sz w:val="24"/>
          <w:szCs w:val="24"/>
          <w:lang w:bidi="hi-IN"/>
        </w:rPr>
      </w:pPr>
      <w:r>
        <w:rPr>
          <w:rFonts w:eastAsia="NSimSun" w:cs="Times New Roman" w:ascii="Times New Roman" w:hAnsi="Times New Roman"/>
          <w:b/>
          <w:bCs/>
          <w:kern w:val="2"/>
          <w:sz w:val="24"/>
          <w:szCs w:val="24"/>
          <w:lang w:bidi="hi-IN"/>
        </w:rPr>
      </w:r>
    </w:p>
    <w:p>
      <w:pPr>
        <w:pStyle w:val="Normal"/>
        <w:spacing w:lineRule="auto" w:line="276" w:before="0" w:after="0"/>
        <w:jc w:val="both"/>
        <w:textAlignment w:val="baseline"/>
        <w:rPr>
          <w:rFonts w:ascii="Times New Roman" w:hAnsi="Times New Roman" w:eastAsia="NSimSun" w:cs="Times New Roman"/>
          <w:kern w:val="2"/>
          <w:sz w:val="24"/>
          <w:szCs w:val="24"/>
          <w:lang w:bidi="hi-IN"/>
        </w:rPr>
      </w:pPr>
      <w:r>
        <w:rPr>
          <w:rFonts w:eastAsia="NSimSun" w:cs="Times New Roman" w:ascii="Times New Roman" w:hAnsi="Times New Roman"/>
          <w:kern w:val="2"/>
          <w:sz w:val="24"/>
          <w:szCs w:val="24"/>
          <w:lang w:bidi="hi-IN"/>
        </w:rPr>
        <w:t>L’attuazione degli interventi sarà soggetta a monitoraggio e controllo da parte dell’ASL 1 Sassari, anche ai fini dell’applicazione delle sanzioni per inadempimento o delle cause di risoluzione contrattuali.</w:t>
      </w:r>
    </w:p>
    <w:p>
      <w:pPr>
        <w:pStyle w:val="Normal"/>
        <w:spacing w:lineRule="auto" w:line="240" w:before="0" w:after="0"/>
        <w:jc w:val="both"/>
        <w:textAlignment w:val="baseline"/>
        <w:rPr>
          <w:rFonts w:ascii="Times New Roman" w:hAnsi="Times New Roman" w:eastAsia="MS Mincho" w:cs="Times New Roman"/>
          <w:kern w:val="2"/>
          <w:sz w:val="20"/>
          <w:szCs w:val="20"/>
          <w:lang w:eastAsia="ja-JP" w:bidi="hi-IN"/>
        </w:rPr>
      </w:pPr>
      <w:r>
        <w:rPr>
          <w:rFonts w:eastAsia="MS Mincho" w:cs="Times New Roman" w:ascii="Times New Roman" w:hAnsi="Times New Roman"/>
          <w:kern w:val="2"/>
          <w:sz w:val="20"/>
          <w:szCs w:val="20"/>
          <w:lang w:eastAsia="ja-JP"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12 – Risorse</w:t>
      </w:r>
    </w:p>
    <w:p>
      <w:pPr>
        <w:pStyle w:val="Normal"/>
        <w:widowControl w:val="false"/>
        <w:spacing w:lineRule="auto" w:line="276" w:before="58" w:after="0"/>
        <w:ind w:right="119"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numPr>
          <w:ilvl w:val="0"/>
          <w:numId w:val="3"/>
        </w:numPr>
        <w:spacing w:lineRule="auto" w:line="276" w:before="58" w:after="0"/>
        <w:ind w:left="785" w:right="119"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Agli ETS chiamati a collaborare per la realizzazione dei singoli interventi in collaborazione con l’ASL 1 Sassari verrà riconosciuto il compenso per ogni singola azione progettuale. </w:t>
      </w:r>
    </w:p>
    <w:p>
      <w:pPr>
        <w:pStyle w:val="Normal"/>
        <w:widowControl w:val="false"/>
        <w:numPr>
          <w:ilvl w:val="0"/>
          <w:numId w:val="3"/>
        </w:numPr>
        <w:spacing w:lineRule="auto" w:line="276" w:before="58" w:after="0"/>
        <w:ind w:left="785" w:right="119" w:hanging="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Le modalità di rendicontazione delle spese ammissibili a rimborso sono quelle già riportate nelle schede progettuali allegate. </w:t>
      </w:r>
    </w:p>
    <w:p>
      <w:pPr>
        <w:pStyle w:val="Normal"/>
        <w:widowControl w:val="false"/>
        <w:spacing w:lineRule="auto" w:line="276" w:before="58" w:after="0"/>
        <w:ind w:right="119" w:hanging="0"/>
        <w:jc w:val="both"/>
        <w:rPr>
          <w:rFonts w:ascii="Times New Roman" w:hAnsi="Times New Roman" w:eastAsia="Times New Roman" w:cs="Times New Roman"/>
          <w:color w:val="000000" w:themeColor="text1"/>
          <w:sz w:val="24"/>
          <w:szCs w:val="24"/>
          <w:highlight w:val="green"/>
        </w:rPr>
      </w:pPr>
      <w:r>
        <w:rPr>
          <w:rFonts w:eastAsia="Times New Roman" w:cs="Times New Roman" w:ascii="Times New Roman" w:hAnsi="Times New Roman"/>
          <w:color w:val="000000" w:themeColor="text1"/>
          <w:sz w:val="24"/>
          <w:szCs w:val="24"/>
          <w:highlight w:val="gree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13 – Pubblicità</w:t>
      </w:r>
    </w:p>
    <w:p>
      <w:pPr>
        <w:pStyle w:val="Normal"/>
        <w:tabs>
          <w:tab w:val="clear" w:pos="708"/>
          <w:tab w:val="left" w:pos="284" w:leader="none"/>
          <w:tab w:val="left" w:pos="2855" w:leader="none"/>
        </w:tabs>
        <w:spacing w:before="0" w:after="0"/>
        <w:ind w:left="720"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ab/>
      </w:r>
    </w:p>
    <w:p>
      <w:pPr>
        <w:pStyle w:val="ListParagraph"/>
        <w:widowControl w:val="false"/>
        <w:numPr>
          <w:ilvl w:val="0"/>
          <w:numId w:val="18"/>
        </w:numPr>
        <w:spacing w:lineRule="auto" w:line="276" w:before="58" w:after="0"/>
        <w:ind w:left="709" w:right="119"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Il </w:t>
      </w:r>
      <w:r>
        <w:rPr>
          <w:rFonts w:eastAsia="Times New Roman" w:cs="Times New Roman" w:ascii="Times New Roman" w:hAnsi="Times New Roman"/>
          <w:sz w:val="24"/>
          <w:szCs w:val="24"/>
        </w:rPr>
        <w:t>presente</w:t>
      </w:r>
      <w:r>
        <w:rPr>
          <w:rFonts w:eastAsia="MS Mincho" w:cs="Times New Roman" w:ascii="Times New Roman" w:hAnsi="Times New Roman"/>
          <w:kern w:val="2"/>
          <w:sz w:val="24"/>
          <w:szCs w:val="24"/>
          <w:lang w:eastAsia="ja-JP" w:bidi="hi-IN"/>
        </w:rPr>
        <w:t xml:space="preserve"> Avviso viene pubblicato sul sito </w:t>
      </w:r>
      <w:hyperlink r:id="rId4">
        <w:r>
          <w:rPr>
            <w:rStyle w:val="CollegamentoInternet"/>
            <w:rFonts w:eastAsia="MS Mincho" w:cs="Times New Roman" w:ascii="Times New Roman" w:hAnsi="Times New Roman"/>
            <w:color w:val="000000"/>
            <w:kern w:val="2"/>
            <w:sz w:val="24"/>
            <w:szCs w:val="24"/>
            <w:lang w:eastAsia="ja-JP" w:bidi="hi-IN"/>
          </w:rPr>
          <w:t>https://www.asl1sassari.it/albo-pretorio/</w:t>
        </w:r>
      </w:hyperlink>
      <w:r>
        <w:rPr>
          <w:rFonts w:eastAsia="MS Mincho" w:cs="Times New Roman" w:ascii="Times New Roman" w:hAnsi="Times New Roman"/>
          <w:kern w:val="2"/>
          <w:sz w:val="24"/>
          <w:szCs w:val="24"/>
          <w:lang w:eastAsia="ja-JP" w:bidi="hi-IN"/>
        </w:rPr>
        <w:t xml:space="preserve"> sezione Comunicazioni, avvisi e manifestazioni di interesse.</w:t>
      </w:r>
    </w:p>
    <w:p>
      <w:pPr>
        <w:pStyle w:val="ListParagraph"/>
        <w:widowControl w:val="false"/>
        <w:numPr>
          <w:ilvl w:val="0"/>
          <w:numId w:val="18"/>
        </w:numPr>
        <w:spacing w:lineRule="auto" w:line="276" w:before="58" w:after="0"/>
        <w:ind w:left="709" w:right="119" w:hanging="36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Si provvederà a pubblicare sul sito istituzionale dell’ASL 1 Sassari l’elenco degli ETS ammessi a partecipare al tavolo di co-progettazione, ritenendo con ciò assolti tutti gli obblighi di comunicazione ai partecipanti.</w:t>
      </w:r>
    </w:p>
    <w:p>
      <w:pPr>
        <w:pStyle w:val="Normal"/>
        <w:tabs>
          <w:tab w:val="clear" w:pos="708"/>
          <w:tab w:val="left" w:pos="284" w:leader="none"/>
        </w:tabs>
        <w:spacing w:before="0" w:after="160"/>
        <w:contextualSpacing/>
        <w:rPr>
          <w:rFonts w:ascii="Times New Roman" w:hAnsi="Times New Roman" w:eastAsia="Times New Roman" w:cs="Times New Roman"/>
          <w:szCs w:val="24"/>
        </w:rPr>
      </w:pPr>
      <w:r>
        <w:rPr>
          <w:rFonts w:eastAsia="Times New Roman" w:cs="Times New Roman" w:ascii="Times New Roman" w:hAnsi="Times New Roman"/>
          <w:szCs w:val="24"/>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14 – Responsabile del procedimento e contatti</w:t>
      </w:r>
    </w:p>
    <w:p>
      <w:pPr>
        <w:pStyle w:val="Normal"/>
        <w:tabs>
          <w:tab w:val="clear" w:pos="708"/>
          <w:tab w:val="left" w:pos="284" w:leader="none"/>
          <w:tab w:val="left" w:pos="2855" w:leader="none"/>
        </w:tabs>
        <w:spacing w:before="0" w:after="0"/>
        <w:ind w:left="720"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ab/>
      </w:r>
    </w:p>
    <w:p>
      <w:pPr>
        <w:pStyle w:val="Normal"/>
        <w:tabs>
          <w:tab w:val="clear" w:pos="708"/>
          <w:tab w:val="left" w:pos="284" w:leader="none"/>
        </w:tabs>
        <w:spacing w:before="0" w:after="0"/>
        <w:ind w:left="709"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1. Il Responsabile del procedimento è la </w:t>
      </w:r>
      <w:r>
        <w:rPr>
          <w:rFonts w:eastAsia="MS Mincho" w:cs="Times New Roman" w:ascii="Times New Roman" w:hAnsi="Times New Roman"/>
          <w:b/>
          <w:bCs/>
          <w:kern w:val="2"/>
          <w:sz w:val="24"/>
          <w:szCs w:val="24"/>
          <w:shd w:fill="FFFFFF" w:val="clear"/>
          <w:lang w:eastAsia="ja-JP" w:bidi="hi-IN"/>
        </w:rPr>
        <w:t>Dott.ssa Angela Cadoni IFO Area Assistenza Sociale</w:t>
      </w:r>
    </w:p>
    <w:p>
      <w:pPr>
        <w:pStyle w:val="Normal"/>
        <w:tabs>
          <w:tab w:val="clear" w:pos="708"/>
          <w:tab w:val="left" w:pos="284" w:leader="none"/>
        </w:tabs>
        <w:spacing w:before="0" w:after="0"/>
        <w:ind w:left="709" w:hanging="0"/>
        <w:contextualSpacing/>
        <w:jc w:val="both"/>
        <w:rPr>
          <w:rFonts w:ascii="Times New Roman" w:hAnsi="Times New Roman" w:eastAsia="MS Mincho" w:cs="Times New Roman"/>
          <w:color w:val="FF0000"/>
          <w:kern w:val="2"/>
          <w:sz w:val="24"/>
          <w:szCs w:val="24"/>
          <w:lang w:eastAsia="ja-JP" w:bidi="hi-IN"/>
        </w:rPr>
      </w:pPr>
      <w:r>
        <w:rPr>
          <w:rFonts w:eastAsia="MS Mincho" w:cs="Times New Roman" w:ascii="Times New Roman" w:hAnsi="Times New Roman"/>
          <w:kern w:val="2"/>
          <w:sz w:val="24"/>
          <w:szCs w:val="24"/>
          <w:lang w:eastAsia="ja-JP" w:bidi="hi-IN"/>
        </w:rPr>
        <w:t>2. Eventuali richieste di chiarimento potranno essere inviate, entro</w:t>
      </w:r>
      <w:r>
        <w:rPr>
          <w:rFonts w:eastAsia="MS Mincho" w:cs="Times New Roman" w:ascii="Times New Roman" w:hAnsi="Times New Roman"/>
          <w:b/>
          <w:bCs/>
          <w:kern w:val="2"/>
          <w:sz w:val="24"/>
          <w:szCs w:val="24"/>
          <w:lang w:eastAsia="ja-JP" w:bidi="hi-IN"/>
        </w:rPr>
        <w:t xml:space="preserve"> </w:t>
      </w:r>
      <w:r>
        <w:rPr>
          <w:rFonts w:eastAsia="MS Mincho" w:cs="Times New Roman" w:ascii="Times New Roman" w:hAnsi="Times New Roman"/>
          <w:b/>
          <w:bCs/>
          <w:kern w:val="2"/>
          <w:sz w:val="24"/>
          <w:szCs w:val="24"/>
          <w:shd w:fill="FFFFFF" w:val="clear"/>
          <w:lang w:eastAsia="ja-JP" w:bidi="hi-IN"/>
        </w:rPr>
        <w:t>tre</w:t>
      </w:r>
      <w:r>
        <w:rPr>
          <w:rFonts w:eastAsia="MS Mincho" w:cs="Times New Roman" w:ascii="Times New Roman" w:hAnsi="Times New Roman"/>
          <w:b/>
          <w:bCs/>
          <w:kern w:val="2"/>
          <w:sz w:val="24"/>
          <w:szCs w:val="24"/>
          <w:lang w:eastAsia="ja-JP" w:bidi="hi-IN"/>
        </w:rPr>
        <w:t xml:space="preserve"> </w:t>
      </w:r>
      <w:r>
        <w:rPr>
          <w:rFonts w:eastAsia="MS Mincho" w:cs="Times New Roman" w:ascii="Times New Roman" w:hAnsi="Times New Roman"/>
          <w:kern w:val="2"/>
          <w:sz w:val="24"/>
          <w:szCs w:val="24"/>
          <w:lang w:eastAsia="ja-JP" w:bidi="hi-IN"/>
        </w:rPr>
        <w:t>giorni lavorativi antecedenti alla chi</w:t>
      </w:r>
      <w:r>
        <w:rPr>
          <w:rFonts w:eastAsia="MS Mincho" w:cs="Times New Roman" w:ascii="Times New Roman" w:hAnsi="Times New Roman"/>
          <w:kern w:val="2"/>
          <w:sz w:val="24"/>
          <w:szCs w:val="24"/>
          <w:shd w:fill="FFFFFF" w:val="clear"/>
          <w:lang w:eastAsia="ja-JP" w:bidi="hi-IN"/>
        </w:rPr>
        <w:t>usura dei termini di presentazione della domanda, al seguente indirizzo di posta elettronica</w:t>
      </w:r>
      <w:r>
        <w:rPr>
          <w:rFonts w:eastAsia="MS Mincho" w:cs="Times New Roman" w:ascii="Times New Roman" w:hAnsi="Times New Roman"/>
          <w:kern w:val="2"/>
          <w:sz w:val="24"/>
          <w:szCs w:val="24"/>
          <w:u w:val="single"/>
          <w:shd w:fill="FFFFFF" w:val="clear"/>
          <w:lang w:eastAsia="ja-JP" w:bidi="hi-IN"/>
        </w:rPr>
        <w:t xml:space="preserve"> angela.cadoni@aslsassari.it</w:t>
      </w:r>
    </w:p>
    <w:p>
      <w:pPr>
        <w:pStyle w:val="Normal"/>
        <w:tabs>
          <w:tab w:val="clear" w:pos="708"/>
          <w:tab w:val="left" w:pos="284" w:leader="none"/>
        </w:tabs>
        <w:spacing w:before="0" w:after="0"/>
        <w:contextualSpacing/>
        <w:jc w:val="both"/>
        <w:rPr>
          <w:rFonts w:ascii="Times New Roman" w:hAnsi="Times New Roman" w:eastAsia="MS Mincho" w:cs="Times New Roman"/>
          <w:color w:val="FF0000"/>
          <w:kern w:val="2"/>
          <w:sz w:val="24"/>
          <w:szCs w:val="24"/>
          <w:lang w:eastAsia="ja-JP" w:bidi="hi-IN"/>
        </w:rPr>
      </w:pPr>
      <w:r>
        <w:rPr>
          <w:rFonts w:eastAsia="MS Mincho" w:cs="Times New Roman" w:ascii="Times New Roman" w:hAnsi="Times New Roman"/>
          <w:color w:val="FF0000"/>
          <w:kern w:val="2"/>
          <w:sz w:val="24"/>
          <w:szCs w:val="24"/>
          <w:lang w:eastAsia="ja-JP" w:bidi="hi-IN"/>
        </w:rPr>
      </w:r>
    </w:p>
    <w:p>
      <w:pPr>
        <w:pStyle w:val="Normal"/>
        <w:tabs>
          <w:tab w:val="clear" w:pos="708"/>
          <w:tab w:val="left" w:pos="284" w:leader="none"/>
        </w:tabs>
        <w:spacing w:before="0" w:after="160"/>
        <w:contextualSpacing/>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15 - Trattamento dei dati personali</w:t>
      </w:r>
    </w:p>
    <w:p>
      <w:pPr>
        <w:pStyle w:val="Normal"/>
        <w:tabs>
          <w:tab w:val="clear" w:pos="708"/>
          <w:tab w:val="left" w:pos="284" w:leader="none"/>
        </w:tabs>
        <w:spacing w:before="0" w:after="0"/>
        <w:ind w:left="709" w:hanging="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r>
    </w:p>
    <w:p>
      <w:pPr>
        <w:pStyle w:val="ListParagraph"/>
        <w:numPr>
          <w:ilvl w:val="1"/>
          <w:numId w:val="20"/>
        </w:numPr>
        <w:tabs>
          <w:tab w:val="clear" w:pos="708"/>
          <w:tab w:val="left" w:pos="284" w:leader="none"/>
        </w:tabs>
        <w:spacing w:before="0" w:after="0"/>
        <w:contextualSpacing/>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I dati personali dei quali l’ASL 1 Sassari e l’ETS entrerà in possesso a seguito della presente procedura saranno trattati nel rispetto del D. Lgs. n. 196/2003 e s.m.i. e del Regolamento (UE) 2016/679, secondo i principi di correttezza, liceità e trasparenza e tutela della riservatezza e dei diritti dei partecipanti. </w:t>
      </w:r>
    </w:p>
    <w:p>
      <w:pPr>
        <w:pStyle w:val="ListParagraph"/>
        <w:numPr>
          <w:ilvl w:val="1"/>
          <w:numId w:val="20"/>
        </w:numPr>
        <w:tabs>
          <w:tab w:val="clear" w:pos="708"/>
          <w:tab w:val="left" w:pos="284" w:leader="none"/>
        </w:tabs>
        <w:spacing w:before="0" w:after="0"/>
        <w:contextualSpacing/>
        <w:jc w:val="both"/>
        <w:textAlignment w:val="baseline"/>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 xml:space="preserve">I dati forniti saranno trattati esclusivamente per il conseguimento delle finalità di cui al presente Avviso. </w:t>
      </w:r>
    </w:p>
    <w:p>
      <w:pPr>
        <w:pStyle w:val="Normal"/>
        <w:tabs>
          <w:tab w:val="clear" w:pos="708"/>
          <w:tab w:val="left" w:pos="284" w:leader="none"/>
        </w:tabs>
        <w:spacing w:before="0" w:after="0"/>
        <w:ind w:left="709" w:hanging="0"/>
        <w:contextualSpacing/>
        <w:jc w:val="both"/>
        <w:textAlignment w:val="baseline"/>
        <w:rPr>
          <w:rFonts w:ascii="Times New Roman" w:hAnsi="Times New Roman" w:eastAsia="MS Mincho" w:cs="Times New Roman"/>
          <w:color w:val="FF0000"/>
          <w:kern w:val="2"/>
          <w:sz w:val="24"/>
          <w:szCs w:val="24"/>
          <w:lang w:eastAsia="ja-JP" w:bidi="hi-IN"/>
        </w:rPr>
      </w:pPr>
      <w:r>
        <w:rPr>
          <w:rFonts w:eastAsia="MS Mincho" w:cs="Times New Roman" w:ascii="Times New Roman" w:hAnsi="Times New Roman"/>
          <w:color w:val="FF0000"/>
          <w:kern w:val="2"/>
          <w:sz w:val="24"/>
          <w:szCs w:val="24"/>
          <w:lang w:eastAsia="ja-JP" w:bidi="hi-IN"/>
        </w:rPr>
      </w:r>
    </w:p>
    <w:p>
      <w:pPr>
        <w:pStyle w:val="Normal"/>
        <w:widowControl w:val="false"/>
        <w:spacing w:lineRule="auto" w:line="240" w:before="58" w:after="0"/>
        <w:ind w:right="120"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Articolo 16 – Norme di salvaguardia</w:t>
      </w:r>
    </w:p>
    <w:p>
      <w:pPr>
        <w:pStyle w:val="Normal"/>
        <w:widowControl w:val="false"/>
        <w:spacing w:lineRule="auto" w:line="240" w:before="58" w:after="0"/>
        <w:ind w:left="110" w:right="12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6"/>
        </w:numPr>
        <w:tabs>
          <w:tab w:val="clear" w:pos="708"/>
          <w:tab w:val="left" w:pos="284" w:leader="none"/>
        </w:tabs>
        <w:spacing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L’ASL 1 Sassari si riserva, a suo insindacabile giudizio, la facoltà di modificare, prorogare, sospendere o revocare il presente avviso, qualora se ne ravvisi la necessità o l’opportunità per ragioni di pubblico interesse, senza che per i soggetti partecipanti alla procedura insorga alcuna pretesa o diritto. L’Amministrazione si riserva la facoltà di non dare esecuzione all’avviso.</w:t>
      </w:r>
    </w:p>
    <w:p>
      <w:pPr>
        <w:pStyle w:val="Normal"/>
        <w:numPr>
          <w:ilvl w:val="0"/>
          <w:numId w:val="6"/>
        </w:numPr>
        <w:tabs>
          <w:tab w:val="clear" w:pos="708"/>
          <w:tab w:val="left" w:pos="284" w:leader="none"/>
        </w:tabs>
        <w:spacing w:before="0" w:after="0"/>
        <w:contextualSpacing/>
        <w:jc w:val="both"/>
        <w:rPr>
          <w:rFonts w:ascii="Times New Roman" w:hAnsi="Times New Roman" w:eastAsia="MS Mincho" w:cs="Times New Roman"/>
          <w:kern w:val="2"/>
          <w:sz w:val="24"/>
          <w:szCs w:val="24"/>
          <w:lang w:eastAsia="ja-JP" w:bidi="hi-IN"/>
        </w:rPr>
      </w:pPr>
      <w:r>
        <w:rPr>
          <w:rFonts w:eastAsia="MS Mincho" w:cs="Times New Roman" w:ascii="Times New Roman" w:hAnsi="Times New Roman"/>
          <w:kern w:val="2"/>
          <w:sz w:val="24"/>
          <w:szCs w:val="24"/>
          <w:lang w:eastAsia="ja-JP" w:bidi="hi-IN"/>
        </w:rPr>
        <w:t>Per quanto non contemplato nel presente avviso si intendono qui richiamate, a tutti gli effetti, le disposizioni di legge e di regolamento vigenti in materia.</w:t>
      </w:r>
    </w:p>
    <w:p>
      <w:pPr>
        <w:pStyle w:val="Normal"/>
        <w:rPr/>
      </w:pPr>
      <w:r>
        <w:rPr/>
      </w:r>
    </w:p>
    <w:p>
      <w:pPr>
        <w:pStyle w:val="Normal"/>
        <w:rPr>
          <w:rFonts w:ascii="Times New Roman" w:hAnsi="Times New Roman" w:cs="Times New Roman"/>
        </w:rPr>
      </w:pPr>
      <w:r>
        <w:rPr>
          <w:rFonts w:cs="Times New Roman" w:ascii="Times New Roman" w:hAnsi="Times New Roman"/>
        </w:rPr>
        <w:t>ALLEGATI</w:t>
      </w:r>
    </w:p>
    <w:p>
      <w:pPr>
        <w:pStyle w:val="ListParagraph"/>
        <w:numPr>
          <w:ilvl w:val="0"/>
          <w:numId w:val="4"/>
        </w:numPr>
        <w:spacing w:before="0" w:after="160"/>
        <w:contextualSpacing/>
        <w:rPr>
          <w:rFonts w:ascii="Times New Roman" w:hAnsi="Times New Roman" w:cs="Times New Roman"/>
        </w:rPr>
      </w:pPr>
      <w:r>
        <w:rPr>
          <w:rFonts w:cs="Times New Roman" w:ascii="Times New Roman" w:hAnsi="Times New Roman"/>
        </w:rPr>
        <w:t>Schede progettuali, ai sensi della Convenzione sottoscritta tra l’INMP, nella qualità di Organismo Intermedio e l’ASL 1 di Sassari, nella qualità di Beneficiaria.</w:t>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
    </w:p>
    <w:p>
      <w:pPr>
        <w:pStyle w:val="ListParagraph"/>
        <w:spacing w:before="0" w:after="16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4"/>
          <w:szCs w:val="24"/>
        </w:rPr>
        <w:t xml:space="preserve">             </w:t>
      </w:r>
      <w:r>
        <w:rPr>
          <w:rFonts w:cs="Times New Roman" w:ascii="Times New Roman" w:hAnsi="Times New Roman"/>
          <w:sz w:val="24"/>
          <w:szCs w:val="24"/>
        </w:rPr>
        <w:t>Il Direttore Generale ASL 1 Sassari</w:t>
      </w:r>
    </w:p>
    <w:p>
      <w:pPr>
        <w:pStyle w:val="ListParagraph"/>
        <w:spacing w:before="0" w:after="160"/>
        <w:contextualSpacing/>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Dott. Flavio Sensi</w:t>
      </w:r>
    </w:p>
    <w:p>
      <w:pPr>
        <w:pStyle w:val="ListParagraph"/>
        <w:spacing w:before="0" w:after="160"/>
        <w:ind w:hanging="0"/>
        <w:contextualSpacing/>
        <w:rPr>
          <w:rFonts w:ascii="Times New Roman" w:hAnsi="Times New Roman" w:cs="Times New Roman"/>
        </w:rPr>
      </w:pPr>
      <w:r>
        <w:rPr>
          <w:sz w:val="24"/>
          <w:szCs w:val="24"/>
        </w:rPr>
      </w:r>
    </w:p>
    <w:p>
      <w:pPr>
        <w:pStyle w:val="ListParagraph"/>
        <w:spacing w:before="0" w:after="160"/>
        <w:ind w:hanging="0"/>
        <w:contextualSpacing/>
        <w:rPr>
          <w:rFonts w:ascii="Times New Roman" w:hAnsi="Times New Roman" w:cs="Times New Roman"/>
        </w:rPr>
      </w:pPr>
      <w:r>
        <w:rPr>
          <w:sz w:val="24"/>
          <w:szCs w:val="24"/>
        </w:rPr>
      </w:r>
    </w:p>
    <w:p>
      <w:pPr>
        <w:pStyle w:val="ListParagraph"/>
        <w:spacing w:before="0" w:after="160"/>
        <w:ind w:hanging="0"/>
        <w:contextualSpacing/>
        <w:rPr>
          <w:sz w:val="24"/>
          <w:szCs w:val="24"/>
        </w:rPr>
      </w:pPr>
      <w:r>
        <w:rPr>
          <w:rFonts w:cs="Times New Roman" w:ascii="Times New Roman" w:hAnsi="Times New Roman"/>
          <w:sz w:val="24"/>
          <w:szCs w:val="24"/>
        </w:rPr>
        <w:t>Il Direttore dei Servizi Socio Sanitari</w:t>
      </w:r>
    </w:p>
    <w:p>
      <w:pPr>
        <w:pStyle w:val="ListParagraph"/>
        <w:spacing w:before="0" w:after="160"/>
        <w:ind w:hanging="0"/>
        <w:contextualSpacing/>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Dott.ssa Annarosa Negri</w:t>
      </w:r>
    </w:p>
    <w:sectPr>
      <w:footerReference w:type="default" r:id="rId5"/>
      <w:footnotePr>
        <w:numFmt w:val="decimal"/>
      </w:footnotePr>
      <w:type w:val="nextPage"/>
      <w:pgSz w:w="11906" w:h="16838"/>
      <w:pgMar w:left="1134" w:right="1134" w:header="0" w:top="1417" w:footer="708"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roman"/>
    <w:pitch w:val="variable"/>
  </w:font>
  <w:font w:name="Cambria Math">
    <w:charset w:val="00"/>
    <w:family w:val="roman"/>
    <w:pitch w:val="variable"/>
  </w:font>
  <w:font w:name="Candara">
    <w:charset w:val="00"/>
    <w:family w:val="roman"/>
    <w:pitch w:val="variable"/>
  </w:font>
  <w:font w:name="Cambria">
    <w:charset w:val="01"/>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p>
    <w:pPr>
      <w:pStyle w:val="Pidipagina"/>
      <w:rPr/>
    </w:pPr>
    <w:r>
      <w:rPr/>
      <w:drawing>
        <wp:anchor behindDoc="1" distT="0" distB="0" distL="0" distR="0" simplePos="0" locked="0" layoutInCell="0" allowOverlap="1" relativeHeight="13">
          <wp:simplePos x="0" y="0"/>
          <wp:positionH relativeFrom="margin">
            <wp:posOffset>852805</wp:posOffset>
          </wp:positionH>
          <wp:positionV relativeFrom="paragraph">
            <wp:posOffset>27305</wp:posOffset>
          </wp:positionV>
          <wp:extent cx="1218565" cy="347345"/>
          <wp:effectExtent l="0" t="0" r="0" b="0"/>
          <wp:wrapNone/>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1"/>
                  <a:stretch>
                    <a:fillRect/>
                  </a:stretch>
                </pic:blipFill>
                <pic:spPr bwMode="auto">
                  <a:xfrm>
                    <a:off x="0" y="0"/>
                    <a:ext cx="1218565" cy="347345"/>
                  </a:xfrm>
                  <a:prstGeom prst="rect">
                    <a:avLst/>
                  </a:prstGeom>
                </pic:spPr>
              </pic:pic>
            </a:graphicData>
          </a:graphic>
        </wp:anchor>
      </w:drawing>
      <w:drawing>
        <wp:anchor behindDoc="1" distT="0" distB="0" distL="0" distR="0" simplePos="0" locked="0" layoutInCell="0" allowOverlap="1" relativeHeight="24">
          <wp:simplePos x="0" y="0"/>
          <wp:positionH relativeFrom="column">
            <wp:posOffset>3315335</wp:posOffset>
          </wp:positionH>
          <wp:positionV relativeFrom="paragraph">
            <wp:posOffset>58420</wp:posOffset>
          </wp:positionV>
          <wp:extent cx="1318895" cy="366395"/>
          <wp:effectExtent l="0" t="0" r="0" b="0"/>
          <wp:wrapSquare wrapText="largest"/>
          <wp:docPr id="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
                  <pic:cNvPicPr>
                    <a:picLocks noChangeAspect="1" noChangeArrowheads="1"/>
                  </pic:cNvPicPr>
                </pic:nvPicPr>
                <pic:blipFill>
                  <a:blip r:embed="rId2"/>
                  <a:stretch>
                    <a:fillRect/>
                  </a:stretch>
                </pic:blipFill>
                <pic:spPr bwMode="auto">
                  <a:xfrm>
                    <a:off x="0" y="0"/>
                    <a:ext cx="1318895" cy="366395"/>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rFonts w:ascii="Times New Roman" w:hAnsi="Times New Roman" w:cs="Times New Roman"/>
        </w:rPr>
      </w:pPr>
      <w:r>
        <w:rPr>
          <w:rStyle w:val="Caratterinotaapidipagina"/>
        </w:rPr>
        <w:footnoteRef/>
      </w:r>
      <w:r>
        <w:rPr>
          <w:rFonts w:cs="Times New Roman" w:ascii="Times New Roman" w:hAnsi="Times New Roman"/>
        </w:rPr>
        <w:t xml:space="preserve"> </w:t>
      </w:r>
      <w:r>
        <w:rPr>
          <w:rFonts w:cs="Times New Roman" w:ascii="Times New Roman" w:hAnsi="Times New Roman"/>
        </w:rPr>
        <w:t>Fornire servizi a soggetti che altrimenti non ne avrebbero accesso.</w:t>
      </w:r>
    </w:p>
  </w:footnote>
  <w:footnote w:id="3">
    <w:p>
      <w:pPr>
        <w:pStyle w:val="Notaapidipagina"/>
        <w:rPr>
          <w:rFonts w:ascii="Times New Roman" w:hAnsi="Times New Roman" w:cs="Times New Roman"/>
        </w:rPr>
      </w:pPr>
      <w:r>
        <w:rPr>
          <w:rStyle w:val="Caratterinotaapidipagina"/>
        </w:rPr>
        <w:footnoteRef/>
      </w:r>
      <w:r>
        <w:rPr>
          <w:rFonts w:cs="Times New Roman" w:ascii="Times New Roman" w:hAnsi="Times New Roman"/>
        </w:rPr>
        <w:t xml:space="preserve"> </w:t>
      </w:r>
      <w:r>
        <w:rPr>
          <w:rFonts w:cs="Times New Roman" w:ascii="Times New Roman" w:hAnsi="Times New Roman"/>
        </w:rPr>
        <w:t>Difficili da raggiungere.</w:t>
      </w:r>
    </w:p>
  </w:footnote>
  <w:footnote w:id="4">
    <w:p>
      <w:pPr>
        <w:pStyle w:val="Notaapidipagina"/>
        <w:rPr/>
      </w:pPr>
      <w:r>
        <w:rPr>
          <w:rStyle w:val="Caratterinotaapidipagina"/>
        </w:rPr>
        <w:footnoteRef/>
      </w:r>
      <w:r>
        <w:rPr>
          <w:rFonts w:cs="Times New Roman" w:ascii="Times New Roman" w:hAnsi="Times New Roman"/>
        </w:rPr>
        <w:t xml:space="preserve"> </w:t>
      </w:r>
      <w:r>
        <w:rPr>
          <w:rFonts w:cs="Times New Roman" w:ascii="Times New Roman" w:hAnsi="Times New Roman"/>
        </w:rPr>
        <w:t>Rinvio.</w:t>
      </w:r>
    </w:p>
  </w:footnote>
  <w:footnote w:id="5">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Style w:val="Caratterinotaapidipagina"/>
        </w:rPr>
        <w:footnoteRef/>
      </w:r>
      <w:r>
        <w:rPr>
          <w:rFonts w:cs="Times New Roman" w:ascii="Times New Roman" w:hAnsi="Times New Roman"/>
        </w:rPr>
        <w:t xml:space="preserve"> </w:t>
      </w:r>
      <w:r>
        <w:rPr>
          <w:rFonts w:cs="Times New Roman" w:ascii="Times New Roman" w:hAnsi="Times New Roman"/>
          <w:color w:val="000000"/>
          <w:sz w:val="19"/>
          <w:szCs w:val="19"/>
        </w:rPr>
        <w:t>Ai fini della rimborsabilità, i farmaci sono classificati in tre diverse fasce: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FASCIA A: comprendente i farmaci essenziali e quelli per le malattie croniche, interamente rimborsati dal SSN, a meno che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non sia presente una nota AIFA, che vincola la rimborsabilità a specifiche condizioni patologiche o terapeutiche in atto. La</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modalità di fornitura dei farmaci di fascia A avviene attraverso le farmacie territoriali o le strutture sanitarie pubbliche;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FASCIA H: comprendente i farmaci di esclusivo uso ospedaliero utilizzabili solo in ospedale o che possono essere distribuiti</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dalle strutture sanitarie;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FASCIA C: comprendente farmaci a totale carico del paziente (ad eccezione dei titolari di pensione di guerra diretta vitalizia –</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jc w:val="both"/>
        <w:rPr>
          <w:rFonts w:ascii="Times New Roman" w:hAnsi="Times New Roman" w:cs="Times New Roman"/>
          <w:color w:val="000000"/>
          <w:sz w:val="19"/>
          <w:szCs w:val="19"/>
        </w:rPr>
      </w:pPr>
      <w:r>
        <w:rPr>
          <w:rFonts w:cs="Times New Roman" w:ascii="Times New Roman" w:hAnsi="Times New Roman"/>
          <w:color w:val="000000"/>
          <w:sz w:val="19"/>
          <w:szCs w:val="19"/>
        </w:rPr>
        <w:t>legge 203/2000). Con riferimento al regime di fornitura, i farmaci di classe C sono distinti in farmaci con obbligo di prescrizione medica e farmaci senza obbligo di prescrizione medica.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lowerLetter"/>
      <w:lvlText w:val="%1)"/>
      <w:lvlJc w:val="left"/>
      <w:pPr>
        <w:tabs>
          <w:tab w:val="num" w:pos="0"/>
        </w:tabs>
        <w:ind w:left="360" w:hanging="360"/>
      </w:pPr>
      <w:rPr>
        <w:b w:val="false"/>
        <w:bCs/>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785" w:hanging="360"/>
      </w:pPr>
      <w:rPr>
        <w:rFonts w:ascii="Times New Roman" w:hAnsi="Times New Roman" w:eastAsia="Times New Roman"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abstractNum w:abstractNumId="4">
    <w:lvl w:ilvl="0">
      <w:start w:val="23"/>
      <w:numFmt w:val="bullet"/>
      <w:lvlText w:val="-"/>
      <w:lvlJc w:val="left"/>
      <w:pPr>
        <w:tabs>
          <w:tab w:val="num" w:pos="0"/>
        </w:tabs>
        <w:ind w:left="862" w:hanging="360"/>
      </w:pPr>
      <w:rPr>
        <w:rFonts w:ascii="Cambria" w:hAnsi="Cambria" w:cs="Cambria" w:hint="default"/>
      </w:rPr>
    </w:lvl>
    <w:lvl w:ilvl="1">
      <w:start w:val="1"/>
      <w:numFmt w:val="lowerLetter"/>
      <w:lvlText w:val="%2)"/>
      <w:lvlJc w:val="left"/>
      <w:pPr>
        <w:tabs>
          <w:tab w:val="num" w:pos="0"/>
        </w:tabs>
        <w:ind w:left="928" w:hanging="360"/>
      </w:pPr>
      <w:rPr>
        <w:rFonts w:cs="Times New Roman"/>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5">
    <w:lvl w:ilvl="0">
      <w:start w:val="1"/>
      <w:numFmt w:val="decimal"/>
      <w:lvlText w:val="%1."/>
      <w:lvlJc w:val="left"/>
      <w:pPr>
        <w:tabs>
          <w:tab w:val="num" w:pos="0"/>
        </w:tabs>
        <w:ind w:left="502" w:hanging="360"/>
      </w:pPr>
      <w:rPr>
        <w:b w:val="false"/>
        <w:bCs w:val="false"/>
        <w:rFonts w:cs="Times New Roman"/>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1."/>
      <w:lvlJc w:val="left"/>
      <w:pPr>
        <w:tabs>
          <w:tab w:val="num" w:pos="0"/>
        </w:tabs>
        <w:ind w:left="720" w:hanging="360"/>
      </w:pPr>
      <w:rPr>
        <w:rFonts w:ascii="Times New Roman" w:hAnsi="Times New Roman"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decimal"/>
      <w:lvlText w:val="%1."/>
      <w:lvlJc w:val="left"/>
      <w:pPr>
        <w:tabs>
          <w:tab w:val="num" w:pos="0"/>
        </w:tabs>
        <w:ind w:left="644" w:hanging="360"/>
      </w:pPr>
      <w:rPr>
        <w:rFonts w:ascii="Times New Roman" w:hAnsi="Times New Roman" w:eastAsia="MS Mincho" w:cs="Times New Roman"/>
      </w:rPr>
    </w:lvl>
    <w:lvl w:ilvl="1">
      <w:start w:val="0"/>
      <w:numFmt w:val="bullet"/>
      <w:lvlText w:val="-"/>
      <w:lvlJc w:val="left"/>
      <w:pPr>
        <w:tabs>
          <w:tab w:val="num" w:pos="0"/>
        </w:tabs>
        <w:ind w:left="1364" w:hanging="360"/>
      </w:pPr>
      <w:rPr>
        <w:rFonts w:ascii="Times New Roman" w:hAnsi="Times New Roman" w:cs="Times New Roman"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9">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lvl w:ilvl="0">
      <w:start w:val="1"/>
      <w:numFmt w:val="decimal"/>
      <w:lvlText w:val="%1."/>
      <w:lvlJc w:val="left"/>
      <w:pPr>
        <w:tabs>
          <w:tab w:val="num" w:pos="0"/>
        </w:tabs>
        <w:ind w:left="360" w:hanging="360"/>
      </w:pPr>
      <w:rPr>
        <w:sz w:val="24"/>
        <w:szCs w:val="24"/>
        <w:rFonts w:ascii="Times New Roman" w:hAnsi="Times New Roman"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rPr>
        <w:rFonts w:eastAsia="Calibri"/>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rPr>
        <w:rFonts w:ascii="Times New Roman" w:hAnsi="Times New Roman" w:eastAsia="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lvl w:ilvl="0">
      <w:start w:val="1"/>
      <w:numFmt w:val="decimal"/>
      <w:lvlText w:val="%1."/>
      <w:lvlJc w:val="left"/>
      <w:pPr>
        <w:tabs>
          <w:tab w:val="num" w:pos="0"/>
        </w:tabs>
        <w:ind w:left="1570" w:hanging="360"/>
      </w:pPr>
      <w:rPr>
        <w:rFonts w:ascii="Times New Roman" w:hAnsi="Times New Roman" w:eastAsia="Times New Roman" w:cs="Times New Roman"/>
      </w:rPr>
    </w:lvl>
    <w:lvl w:ilvl="1">
      <w:start w:val="1"/>
      <w:numFmt w:val="lowerLetter"/>
      <w:lvlText w:val="%2."/>
      <w:lvlJc w:val="left"/>
      <w:pPr>
        <w:tabs>
          <w:tab w:val="num" w:pos="0"/>
        </w:tabs>
        <w:ind w:left="2225" w:hanging="360"/>
      </w:pPr>
    </w:lvl>
    <w:lvl w:ilvl="2">
      <w:start w:val="1"/>
      <w:numFmt w:val="lowerRoman"/>
      <w:lvlText w:val="%3."/>
      <w:lvlJc w:val="right"/>
      <w:pPr>
        <w:tabs>
          <w:tab w:val="num" w:pos="0"/>
        </w:tabs>
        <w:ind w:left="2945" w:hanging="180"/>
      </w:pPr>
    </w:lvl>
    <w:lvl w:ilvl="3">
      <w:start w:val="1"/>
      <w:numFmt w:val="decimal"/>
      <w:lvlText w:val="%4."/>
      <w:lvlJc w:val="left"/>
      <w:pPr>
        <w:tabs>
          <w:tab w:val="num" w:pos="0"/>
        </w:tabs>
        <w:ind w:left="3665" w:hanging="360"/>
      </w:pPr>
    </w:lvl>
    <w:lvl w:ilvl="4">
      <w:start w:val="1"/>
      <w:numFmt w:val="lowerLetter"/>
      <w:lvlText w:val="%5."/>
      <w:lvlJc w:val="left"/>
      <w:pPr>
        <w:tabs>
          <w:tab w:val="num" w:pos="0"/>
        </w:tabs>
        <w:ind w:left="4385" w:hanging="360"/>
      </w:pPr>
    </w:lvl>
    <w:lvl w:ilvl="5">
      <w:start w:val="1"/>
      <w:numFmt w:val="lowerRoman"/>
      <w:lvlText w:val="%6."/>
      <w:lvlJc w:val="right"/>
      <w:pPr>
        <w:tabs>
          <w:tab w:val="num" w:pos="0"/>
        </w:tabs>
        <w:ind w:left="5105" w:hanging="180"/>
      </w:pPr>
    </w:lvl>
    <w:lvl w:ilvl="6">
      <w:start w:val="1"/>
      <w:numFmt w:val="decimal"/>
      <w:lvlText w:val="%7."/>
      <w:lvlJc w:val="left"/>
      <w:pPr>
        <w:tabs>
          <w:tab w:val="num" w:pos="0"/>
        </w:tabs>
        <w:ind w:left="5825" w:hanging="360"/>
      </w:pPr>
    </w:lvl>
    <w:lvl w:ilvl="7">
      <w:start w:val="1"/>
      <w:numFmt w:val="lowerLetter"/>
      <w:lvlText w:val="%8."/>
      <w:lvlJc w:val="left"/>
      <w:pPr>
        <w:tabs>
          <w:tab w:val="num" w:pos="0"/>
        </w:tabs>
        <w:ind w:left="6545" w:hanging="360"/>
      </w:pPr>
    </w:lvl>
    <w:lvl w:ilvl="8">
      <w:start w:val="1"/>
      <w:numFmt w:val="lowerRoman"/>
      <w:lvlText w:val="%9."/>
      <w:lvlJc w:val="right"/>
      <w:pPr>
        <w:tabs>
          <w:tab w:val="num" w:pos="0"/>
        </w:tabs>
        <w:ind w:left="7265" w:hanging="180"/>
      </w:pPr>
    </w:lvl>
  </w:abstractNum>
  <w:abstractNum w:abstractNumId="19">
    <w:lvl w:ilvl="0">
      <w:start w:val="1"/>
      <w:numFmt w:val="decimal"/>
      <w:lvlText w:val="%1."/>
      <w:lvlJc w:val="left"/>
      <w:pPr>
        <w:tabs>
          <w:tab w:val="num" w:pos="0"/>
        </w:tabs>
        <w:ind w:left="720" w:hanging="360"/>
      </w:pPr>
      <w:rPr>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0"/>
        </w:tabs>
        <w:ind w:left="1429" w:hanging="360"/>
      </w:p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4">
    <w:name w:val="Heading 4"/>
    <w:basedOn w:val="Normal"/>
    <w:link w:val="Titolo4Carattere"/>
    <w:uiPriority w:val="1"/>
    <w:qFormat/>
    <w:rsid w:val="00133da0"/>
    <w:pPr>
      <w:widowControl w:val="false"/>
      <w:spacing w:lineRule="auto" w:line="240" w:before="0" w:after="0"/>
      <w:ind w:left="232" w:hanging="0"/>
      <w:outlineLvl w:val="3"/>
    </w:pPr>
    <w:rPr>
      <w:rFonts w:ascii="Cambria" w:hAnsi="Cambria" w:eastAsia="Cambria" w:cs="Cambria"/>
      <w:b/>
      <w:bCs/>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Pidipagina"/>
    <w:uiPriority w:val="99"/>
    <w:qFormat/>
    <w:rsid w:val="00cf3daa"/>
    <w:rPr/>
  </w:style>
  <w:style w:type="character" w:styleId="CorpotestoCarattere" w:customStyle="1">
    <w:name w:val="Corpo testo Carattere"/>
    <w:basedOn w:val="DefaultParagraphFont"/>
    <w:link w:val="Corpotesto"/>
    <w:uiPriority w:val="99"/>
    <w:semiHidden/>
    <w:qFormat/>
    <w:rsid w:val="00cf3daa"/>
    <w:rPr/>
  </w:style>
  <w:style w:type="character" w:styleId="Annotationreference">
    <w:name w:val="annotation reference"/>
    <w:basedOn w:val="DefaultParagraphFont"/>
    <w:uiPriority w:val="99"/>
    <w:semiHidden/>
    <w:unhideWhenUsed/>
    <w:qFormat/>
    <w:rsid w:val="00cf3daa"/>
    <w:rPr>
      <w:rFonts w:cs="Times New Roman"/>
      <w:sz w:val="16"/>
      <w:szCs w:val="16"/>
    </w:rPr>
  </w:style>
  <w:style w:type="character" w:styleId="TestocommentoCarattere" w:customStyle="1">
    <w:name w:val="Testo commento Carattere"/>
    <w:basedOn w:val="DefaultParagraphFont"/>
    <w:link w:val="Testocommento"/>
    <w:uiPriority w:val="99"/>
    <w:qFormat/>
    <w:rsid w:val="00cf3daa"/>
    <w:rPr>
      <w:rFonts w:eastAsia="Times New Roman" w:cs="Times New Roman"/>
      <w:sz w:val="20"/>
      <w:szCs w:val="20"/>
    </w:rPr>
  </w:style>
  <w:style w:type="character" w:styleId="Strong">
    <w:name w:val="Strong"/>
    <w:basedOn w:val="DefaultParagraphFont"/>
    <w:uiPriority w:val="22"/>
    <w:qFormat/>
    <w:rsid w:val="00cf3daa"/>
    <w:rPr>
      <w:rFonts w:cs="Times New Roman"/>
      <w:b/>
      <w:bCs/>
    </w:rPr>
  </w:style>
  <w:style w:type="character" w:styleId="TestofumettoCarattere" w:customStyle="1">
    <w:name w:val="Testo fumetto Carattere"/>
    <w:basedOn w:val="DefaultParagraphFont"/>
    <w:link w:val="Testofumetto"/>
    <w:uiPriority w:val="99"/>
    <w:semiHidden/>
    <w:qFormat/>
    <w:rsid w:val="00cf3daa"/>
    <w:rPr>
      <w:rFonts w:ascii="Segoe UI" w:hAnsi="Segoe UI" w:cs="Segoe UI"/>
      <w:sz w:val="18"/>
      <w:szCs w:val="18"/>
    </w:rPr>
  </w:style>
  <w:style w:type="character" w:styleId="TestonotaapidipaginaCarattere" w:customStyle="1">
    <w:name w:val="Testo nota a piè di pagina Carattere"/>
    <w:basedOn w:val="DefaultParagraphFont"/>
    <w:link w:val="Testonotaapidipagina"/>
    <w:uiPriority w:val="99"/>
    <w:semiHidden/>
    <w:qFormat/>
    <w:rsid w:val="007a4936"/>
    <w:rPr>
      <w:sz w:val="20"/>
      <w:szCs w:val="20"/>
    </w:rPr>
  </w:style>
  <w:style w:type="character" w:styleId="Caratterinotaapidipagina" w:customStyle="1">
    <w:name w:val="Caratteri nota a piè di pagina"/>
    <w:basedOn w:val="DefaultParagraphFont"/>
    <w:uiPriority w:val="99"/>
    <w:semiHidden/>
    <w:unhideWhenUsed/>
    <w:qFormat/>
    <w:rsid w:val="007a4936"/>
    <w:rPr>
      <w:vertAlign w:val="superscript"/>
    </w:rPr>
  </w:style>
  <w:style w:type="character" w:styleId="Richiamoallanotaapidipagina">
    <w:name w:val="Richiamo alla nota a piè di pagina"/>
    <w:rPr>
      <w:vertAlign w:val="superscript"/>
    </w:rPr>
  </w:style>
  <w:style w:type="character" w:styleId="FootnoteCharacters">
    <w:name w:val="Footnote Characters"/>
    <w:qFormat/>
    <w:rPr>
      <w:vertAlign w:val="superscript"/>
    </w:rPr>
  </w:style>
  <w:style w:type="character" w:styleId="Titolo4Carattere" w:customStyle="1">
    <w:name w:val="Titolo 4 Carattere"/>
    <w:basedOn w:val="DefaultParagraphFont"/>
    <w:link w:val="Titolo4"/>
    <w:uiPriority w:val="1"/>
    <w:qFormat/>
    <w:rsid w:val="00133da0"/>
    <w:rPr>
      <w:rFonts w:ascii="Cambria" w:hAnsi="Cambria" w:eastAsia="Cambria" w:cs="Cambria"/>
      <w:b/>
      <w:bCs/>
    </w:rPr>
  </w:style>
  <w:style w:type="character" w:styleId="SoggettocommentoCarattere" w:customStyle="1">
    <w:name w:val="Soggetto commento Carattere"/>
    <w:basedOn w:val="TestocommentoCarattere"/>
    <w:link w:val="Soggettocommento"/>
    <w:uiPriority w:val="99"/>
    <w:semiHidden/>
    <w:qFormat/>
    <w:rsid w:val="00c20cfd"/>
    <w:rPr>
      <w:rFonts w:eastAsia="Times New Roman" w:cs="Times New Roman"/>
      <w:b/>
      <w:bCs/>
      <w:sz w:val="20"/>
      <w:szCs w:val="20"/>
    </w:rPr>
  </w:style>
  <w:style w:type="character" w:styleId="IntestazioneCarattere" w:customStyle="1">
    <w:name w:val="Intestazione Carattere"/>
    <w:basedOn w:val="DefaultParagraphFont"/>
    <w:link w:val="Intestazione"/>
    <w:uiPriority w:val="99"/>
    <w:qFormat/>
    <w:rsid w:val="00f411eb"/>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character" w:styleId="Caratterinotadichiusura" w:customStyle="1">
    <w:name w:val="Caratteri nota di chiusura"/>
    <w:qFormat/>
    <w:rPr/>
  </w:style>
  <w:style w:type="character" w:styleId="CollegamentoInternet">
    <w:name w:val="Collegamento Internet"/>
    <w:basedOn w:val="DefaultParagraphFont"/>
    <w:uiPriority w:val="99"/>
    <w:unhideWhenUsed/>
    <w:rsid w:val="009d6ea2"/>
    <w:rPr>
      <w:color w:val="0563C1" w:themeColor="hyperlink"/>
      <w:u w:val="single"/>
    </w:rPr>
  </w:style>
  <w:style w:type="character" w:styleId="UnresolvedMention">
    <w:name w:val="Unresolved Mention"/>
    <w:basedOn w:val="DefaultParagraphFont"/>
    <w:uiPriority w:val="99"/>
    <w:semiHidden/>
    <w:unhideWhenUsed/>
    <w:qFormat/>
    <w:rsid w:val="009d6ea2"/>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cf3daa"/>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1"/>
    <w:qFormat/>
    <w:rsid w:val="00cf3daa"/>
    <w:pPr>
      <w:spacing w:before="0" w:after="160"/>
      <w:ind w:left="720" w:hanging="0"/>
      <w:contextualSpacing/>
    </w:pPr>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unhideWhenUsed/>
    <w:rsid w:val="00cf3daa"/>
    <w:pPr>
      <w:tabs>
        <w:tab w:val="clear" w:pos="708"/>
        <w:tab w:val="center" w:pos="4819" w:leader="none"/>
        <w:tab w:val="right" w:pos="9638" w:leader="none"/>
      </w:tabs>
      <w:spacing w:lineRule="auto" w:line="240" w:before="0" w:after="0"/>
    </w:pPr>
    <w:rPr/>
  </w:style>
  <w:style w:type="paragraph" w:styleId="Standard" w:customStyle="1">
    <w:name w:val="Standard"/>
    <w:qFormat/>
    <w:rsid w:val="00cf3daa"/>
    <w:pPr>
      <w:widowControl/>
      <w:suppressAutoHyphens w:val="true"/>
      <w:bidi w:val="0"/>
      <w:spacing w:lineRule="auto" w:line="276" w:before="0" w:after="200"/>
      <w:jc w:val="left"/>
      <w:textAlignment w:val="baseline"/>
    </w:pPr>
    <w:rPr>
      <w:rFonts w:ascii="Liberation Serif" w:hAnsi="Liberation Serif" w:eastAsia="NSimSun" w:cs="Mangal"/>
      <w:color w:val="auto"/>
      <w:kern w:val="2"/>
      <w:sz w:val="24"/>
      <w:szCs w:val="24"/>
      <w:lang w:val="it-IT" w:eastAsia="en-US" w:bidi="hi-IN"/>
    </w:rPr>
  </w:style>
  <w:style w:type="paragraph" w:styleId="Annotationtext">
    <w:name w:val="annotation text"/>
    <w:basedOn w:val="Normal"/>
    <w:link w:val="TestocommentoCarattere"/>
    <w:uiPriority w:val="99"/>
    <w:unhideWhenUsed/>
    <w:qFormat/>
    <w:rsid w:val="00cf3daa"/>
    <w:pPr>
      <w:spacing w:lineRule="auto" w:line="240"/>
    </w:pPr>
    <w:rPr>
      <w:rFonts w:eastAsia="Times New Roman" w:cs="Times New Roman"/>
      <w:sz w:val="20"/>
      <w:szCs w:val="20"/>
    </w:rPr>
  </w:style>
  <w:style w:type="paragraph" w:styleId="BalloonText">
    <w:name w:val="Balloon Text"/>
    <w:basedOn w:val="Normal"/>
    <w:link w:val="TestofumettoCarattere"/>
    <w:uiPriority w:val="99"/>
    <w:semiHidden/>
    <w:unhideWhenUsed/>
    <w:qFormat/>
    <w:rsid w:val="00cf3daa"/>
    <w:pPr>
      <w:spacing w:lineRule="auto" w:line="240" w:before="0" w:after="0"/>
    </w:pPr>
    <w:rPr>
      <w:rFonts w:ascii="Segoe UI" w:hAnsi="Segoe UI" w:cs="Segoe UI"/>
      <w:sz w:val="18"/>
      <w:szCs w:val="18"/>
    </w:rPr>
  </w:style>
  <w:style w:type="paragraph" w:styleId="Revision">
    <w:name w:val="Revision"/>
    <w:uiPriority w:val="99"/>
    <w:semiHidden/>
    <w:qFormat/>
    <w:rsid w:val="006d3bd3"/>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Notaapidipagina">
    <w:name w:val="Footnote Text"/>
    <w:basedOn w:val="Normal"/>
    <w:link w:val="TestonotaapidipaginaCarattere"/>
    <w:uiPriority w:val="99"/>
    <w:semiHidden/>
    <w:unhideWhenUsed/>
    <w:rsid w:val="007a4936"/>
    <w:pPr>
      <w:spacing w:lineRule="auto" w:line="240" w:before="0" w:after="0"/>
    </w:pPr>
    <w:rPr>
      <w:sz w:val="20"/>
      <w:szCs w:val="20"/>
    </w:rPr>
  </w:style>
  <w:style w:type="paragraph" w:styleId="NormalWeb">
    <w:name w:val="Normal (Web)"/>
    <w:basedOn w:val="Normal"/>
    <w:uiPriority w:val="99"/>
    <w:semiHidden/>
    <w:unhideWhenUsed/>
    <w:qFormat/>
    <w:rsid w:val="00ae25fa"/>
    <w:pPr>
      <w:spacing w:lineRule="auto" w:line="240" w:beforeAutospacing="1" w:afterAutospacing="1"/>
    </w:pPr>
    <w:rPr>
      <w:rFonts w:ascii="Times New Roman" w:hAnsi="Times New Roman" w:eastAsia="Times New Roman" w:cs="Times New Roman"/>
      <w:sz w:val="24"/>
      <w:szCs w:val="24"/>
      <w:lang w:eastAsia="it-IT"/>
    </w:rPr>
  </w:style>
  <w:style w:type="paragraph" w:styleId="Annotationsubject">
    <w:name w:val="annotation subject"/>
    <w:basedOn w:val="Annotationtext"/>
    <w:next w:val="Annotationtext"/>
    <w:link w:val="SoggettocommentoCarattere"/>
    <w:uiPriority w:val="99"/>
    <w:semiHidden/>
    <w:unhideWhenUsed/>
    <w:qFormat/>
    <w:rsid w:val="00c20cfd"/>
    <w:pPr/>
    <w:rPr>
      <w:rFonts w:eastAsia="Calibri" w:cs="" w:cstheme="minorBidi" w:eastAsiaTheme="minorHAnsi"/>
      <w:b/>
      <w:bCs/>
    </w:rPr>
  </w:style>
  <w:style w:type="paragraph" w:styleId="Intestazione">
    <w:name w:val="Header"/>
    <w:basedOn w:val="Normal"/>
    <w:link w:val="IntestazioneCarattere"/>
    <w:uiPriority w:val="99"/>
    <w:unhideWhenUsed/>
    <w:rsid w:val="00f411eb"/>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ec.aslsassari.it" TargetMode="External"/><Relationship Id="rId4" Type="http://schemas.openxmlformats.org/officeDocument/2006/relationships/hyperlink" Target="https://www.asl1sassari.it/albo-pretorio/"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6705-5D2B-4A26-BA84-F90E218D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LibreOffice/7.0.0.3$Windows_X86_64 LibreOffice_project/8061b3e9204bef6b321a21033174034a5e2ea88e</Application>
  <Pages>11</Pages>
  <Words>4124</Words>
  <Characters>24322</Characters>
  <CharactersWithSpaces>28428</CharactersWithSpaces>
  <Paragraphs>170</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2024-09-13T17:04:00Z</dcterms:created>
  <dc:creator>Lecce Maria Giuseppina</dc:creator>
  <dc:description/>
  <dc:language>it-IT</dc:language>
  <cp:lastModifiedBy/>
  <cp:lastPrinted>2024-11-13T13:40:16Z</cp:lastPrinted>
  <dcterms:modified xsi:type="dcterms:W3CDTF">2024-11-14T12:55:40Z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