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2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POSTI NEL PROFILO DI DIRIGENTE MEDICO DELLA DISCIPLINA DI </w:t>
      </w:r>
      <w:r>
        <w:rPr>
          <w:rFonts w:eastAsia="Calibri" w:cs="Times New Roman" w:ascii="Arial" w:hAnsi="Arial"/>
          <w:color w:val="000000"/>
          <w:sz w:val="20"/>
          <w:szCs w:val="20"/>
        </w:rPr>
        <w:t>GINECO</w:t>
      </w:r>
      <w:r>
        <w:rPr>
          <w:rFonts w:eastAsia="Calibri" w:cs="Times New Roman" w:ascii="Arial" w:hAnsi="Arial"/>
          <w:color w:val="000000"/>
          <w:sz w:val="20"/>
          <w:szCs w:val="20"/>
        </w:rPr>
        <w:t>LOGIA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790</Words>
  <Characters>7024</Characters>
  <CharactersWithSpaces>7809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2024-06-05T12:50:32Z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